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5D5B7" w14:textId="05CF38E9" w:rsidR="00097AA2" w:rsidRPr="00BD01B5" w:rsidRDefault="00097AA2" w:rsidP="00436F72">
      <w:pPr>
        <w:jc w:val="right"/>
        <w:rPr>
          <w:rFonts w:ascii="Aptos Display" w:hAnsi="Aptos Display" w:cs="Arial"/>
          <w:b/>
          <w:bCs/>
          <w:i/>
          <w:iCs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7933"/>
        <w:gridCol w:w="1007"/>
      </w:tblGrid>
      <w:tr w:rsidR="00452FA0" w14:paraId="7A4BB362" w14:textId="77777777" w:rsidTr="00BF1051">
        <w:tc>
          <w:tcPr>
            <w:tcW w:w="562" w:type="dxa"/>
            <w:tcBorders>
              <w:bottom w:val="single" w:sz="8" w:space="0" w:color="0094C0"/>
              <w:right w:val="single" w:sz="8" w:space="0" w:color="0094C0"/>
            </w:tcBorders>
            <w:vAlign w:val="center"/>
          </w:tcPr>
          <w:p w14:paraId="5AEE37A1" w14:textId="77777777" w:rsidR="00A86A2E" w:rsidRDefault="00A86A2E" w:rsidP="00BF1051">
            <w:pPr>
              <w:spacing w:line="276" w:lineRule="auto"/>
              <w:jc w:val="both"/>
              <w:rPr>
                <w:rFonts w:ascii="Aptos Display" w:hAnsi="Aptos Display" w:cs="Arial"/>
              </w:rPr>
            </w:pPr>
          </w:p>
        </w:tc>
        <w:tc>
          <w:tcPr>
            <w:tcW w:w="8019" w:type="dxa"/>
            <w:tcBorders>
              <w:left w:val="single" w:sz="8" w:space="0" w:color="0094C0"/>
              <w:bottom w:val="single" w:sz="8" w:space="0" w:color="0094C0"/>
            </w:tcBorders>
            <w:vAlign w:val="center"/>
          </w:tcPr>
          <w:p w14:paraId="7FD8F70C" w14:textId="77777777" w:rsidR="00A86A2E" w:rsidRPr="00FE0E39" w:rsidRDefault="00A86A2E" w:rsidP="00A86A2E">
            <w:pPr>
              <w:spacing w:line="276" w:lineRule="auto"/>
              <w:ind w:left="0"/>
              <w:jc w:val="both"/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</w:pPr>
            <w:r w:rsidRPr="00FE0E39"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  <w:t xml:space="preserve">Intenzifikace ČOV Ivančice, výběr dodavatele stavebních prací </w:t>
            </w:r>
          </w:p>
        </w:tc>
        <w:tc>
          <w:tcPr>
            <w:tcW w:w="1013" w:type="dxa"/>
            <w:tcBorders>
              <w:bottom w:val="single" w:sz="8" w:space="0" w:color="0094C0"/>
            </w:tcBorders>
          </w:tcPr>
          <w:p w14:paraId="418A8637" w14:textId="0A08D338" w:rsidR="00A86A2E" w:rsidRPr="00452FA0" w:rsidRDefault="00A86A2E" w:rsidP="00452FA0">
            <w:pPr>
              <w:spacing w:line="276" w:lineRule="auto"/>
              <w:ind w:left="0"/>
              <w:jc w:val="right"/>
              <w:rPr>
                <w:rFonts w:ascii="Aptos Display" w:hAnsi="Aptos Display" w:cs="Arial"/>
                <w:b/>
                <w:bCs/>
                <w:color w:val="0094C0"/>
                <w:szCs w:val="22"/>
              </w:rPr>
            </w:pPr>
          </w:p>
        </w:tc>
      </w:tr>
      <w:tr w:rsidR="00452FA0" w14:paraId="6979585E" w14:textId="77777777" w:rsidTr="00DF4296">
        <w:tc>
          <w:tcPr>
            <w:tcW w:w="562" w:type="dxa"/>
            <w:tcBorders>
              <w:top w:val="single" w:sz="8" w:space="0" w:color="0094C0"/>
              <w:bottom w:val="single" w:sz="8" w:space="0" w:color="0094C0"/>
              <w:right w:val="single" w:sz="8" w:space="0" w:color="0094C0"/>
            </w:tcBorders>
            <w:vAlign w:val="center"/>
          </w:tcPr>
          <w:p w14:paraId="452DBAC6" w14:textId="77777777" w:rsidR="00A86A2E" w:rsidRDefault="00A86A2E" w:rsidP="00BF1051">
            <w:pPr>
              <w:spacing w:line="276" w:lineRule="auto"/>
              <w:jc w:val="both"/>
              <w:rPr>
                <w:rFonts w:ascii="Aptos Display" w:hAnsi="Aptos Display" w:cs="Arial"/>
              </w:rPr>
            </w:pPr>
          </w:p>
        </w:tc>
        <w:tc>
          <w:tcPr>
            <w:tcW w:w="8019" w:type="dxa"/>
            <w:tcBorders>
              <w:top w:val="single" w:sz="8" w:space="0" w:color="0094C0"/>
              <w:left w:val="single" w:sz="8" w:space="0" w:color="0094C0"/>
              <w:bottom w:val="single" w:sz="8" w:space="0" w:color="0094C0"/>
            </w:tcBorders>
            <w:vAlign w:val="center"/>
          </w:tcPr>
          <w:p w14:paraId="066327A8" w14:textId="762BAD5D" w:rsidR="00A86A2E" w:rsidRPr="00FE0E39" w:rsidRDefault="00095FD0" w:rsidP="00A86A2E">
            <w:pPr>
              <w:spacing w:line="276" w:lineRule="auto"/>
              <w:ind w:left="0"/>
              <w:jc w:val="both"/>
              <w:rPr>
                <w:rFonts w:ascii="Aptos Display" w:hAnsi="Aptos Display" w:cs="Arial"/>
                <w:b/>
                <w:bCs/>
                <w:sz w:val="28"/>
                <w:szCs w:val="28"/>
              </w:rPr>
            </w:pPr>
            <w:r w:rsidRPr="00095FD0"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  <w:t>Požadavk</w:t>
            </w:r>
            <w:r>
              <w:rPr>
                <w:rFonts w:ascii="Aptos Display" w:hAnsi="Aptos Display" w:cs="Arial"/>
                <w:b/>
                <w:bCs/>
                <w:color w:val="0094C0"/>
                <w:sz w:val="28"/>
                <w:szCs w:val="28"/>
              </w:rPr>
              <w:t>y objednatele</w:t>
            </w:r>
          </w:p>
        </w:tc>
        <w:tc>
          <w:tcPr>
            <w:tcW w:w="1013" w:type="dxa"/>
            <w:tcBorders>
              <w:top w:val="single" w:sz="8" w:space="0" w:color="0094C0"/>
              <w:bottom w:val="single" w:sz="8" w:space="0" w:color="0094C0"/>
            </w:tcBorders>
            <w:vAlign w:val="center"/>
          </w:tcPr>
          <w:p w14:paraId="24F516D3" w14:textId="0F9BCAE3" w:rsidR="00A86A2E" w:rsidRPr="00452FA0" w:rsidRDefault="00DF4296" w:rsidP="00DF4296">
            <w:pPr>
              <w:spacing w:line="276" w:lineRule="auto"/>
              <w:ind w:left="0"/>
              <w:jc w:val="right"/>
              <w:rPr>
                <w:rFonts w:ascii="Aptos Display" w:hAnsi="Aptos Display" w:cs="Arial"/>
                <w:color w:val="0094C0"/>
                <w:sz w:val="20"/>
                <w:szCs w:val="20"/>
              </w:rPr>
            </w:pPr>
            <w:r w:rsidRPr="00452FA0">
              <w:rPr>
                <w:rFonts w:ascii="Aptos Display" w:hAnsi="Aptos Display" w:cs="Arial"/>
                <w:b/>
                <w:bCs/>
                <w:color w:val="0094C0"/>
                <w:szCs w:val="22"/>
              </w:rPr>
              <w:t>V01</w:t>
            </w:r>
          </w:p>
        </w:tc>
      </w:tr>
      <w:tr w:rsidR="00452FA0" w14:paraId="115B6B1A" w14:textId="77777777" w:rsidTr="00DF4296">
        <w:tc>
          <w:tcPr>
            <w:tcW w:w="562" w:type="dxa"/>
            <w:tcBorders>
              <w:top w:val="single" w:sz="8" w:space="0" w:color="0094C0"/>
              <w:right w:val="single" w:sz="8" w:space="0" w:color="0094C0"/>
            </w:tcBorders>
            <w:vAlign w:val="center"/>
          </w:tcPr>
          <w:p w14:paraId="6F40056F" w14:textId="77777777" w:rsidR="00A86A2E" w:rsidRPr="00D130BC" w:rsidRDefault="00A86A2E" w:rsidP="00BF1051">
            <w:pPr>
              <w:spacing w:line="276" w:lineRule="auto"/>
              <w:jc w:val="both"/>
              <w:rPr>
                <w:rFonts w:ascii="Aptos Display" w:hAnsi="Aptos Display" w:cs="Arial"/>
              </w:rPr>
            </w:pPr>
          </w:p>
        </w:tc>
        <w:tc>
          <w:tcPr>
            <w:tcW w:w="8019" w:type="dxa"/>
            <w:tcBorders>
              <w:top w:val="single" w:sz="8" w:space="0" w:color="0094C0"/>
              <w:left w:val="single" w:sz="8" w:space="0" w:color="0094C0"/>
            </w:tcBorders>
            <w:vAlign w:val="center"/>
          </w:tcPr>
          <w:p w14:paraId="061D53C3" w14:textId="59CF9259" w:rsidR="00A86A2E" w:rsidRPr="00A86A2E" w:rsidRDefault="00A86A2E" w:rsidP="006A75DF">
            <w:pPr>
              <w:ind w:left="0"/>
              <w:rPr>
                <w:rFonts w:ascii="Aptos Display" w:hAnsi="Aptos Display" w:cs="Arial"/>
                <w:color w:val="0094C0"/>
                <w:szCs w:val="22"/>
              </w:rPr>
            </w:pPr>
            <w:r w:rsidRPr="00A86A2E">
              <w:rPr>
                <w:rFonts w:ascii="Aptos Display" w:hAnsi="Aptos Display" w:cs="Arial"/>
                <w:color w:val="0094C0"/>
                <w:szCs w:val="22"/>
              </w:rPr>
              <w:t xml:space="preserve">Příloha č. </w:t>
            </w:r>
            <w:r w:rsidR="006A75DF">
              <w:rPr>
                <w:rFonts w:ascii="Aptos Display" w:hAnsi="Aptos Display" w:cs="Arial"/>
                <w:color w:val="0094C0"/>
                <w:szCs w:val="22"/>
              </w:rPr>
              <w:t>5</w:t>
            </w:r>
            <w:r w:rsidRPr="00A86A2E">
              <w:rPr>
                <w:rFonts w:ascii="Aptos Display" w:hAnsi="Aptos Display" w:cs="Arial"/>
                <w:color w:val="0094C0"/>
                <w:szCs w:val="22"/>
              </w:rPr>
              <w:t xml:space="preserve"> </w:t>
            </w:r>
            <w:r w:rsidR="006A75DF" w:rsidRPr="006A75DF">
              <w:rPr>
                <w:rFonts w:ascii="Aptos Display" w:hAnsi="Aptos Display" w:cs="Arial"/>
                <w:color w:val="0094C0"/>
                <w:szCs w:val="22"/>
              </w:rPr>
              <w:t>Podmínky DNSH</w:t>
            </w:r>
          </w:p>
        </w:tc>
        <w:tc>
          <w:tcPr>
            <w:tcW w:w="1013" w:type="dxa"/>
            <w:tcBorders>
              <w:top w:val="single" w:sz="8" w:space="0" w:color="0094C0"/>
            </w:tcBorders>
            <w:vAlign w:val="center"/>
          </w:tcPr>
          <w:p w14:paraId="2E230AA0" w14:textId="3AB7C819" w:rsidR="00A86A2E" w:rsidRDefault="00DF4296" w:rsidP="00DF4296">
            <w:pPr>
              <w:spacing w:after="120" w:line="276" w:lineRule="auto"/>
              <w:ind w:left="0"/>
              <w:jc w:val="right"/>
              <w:rPr>
                <w:rFonts w:ascii="Aptos Display" w:hAnsi="Aptos Display" w:cs="Arial"/>
              </w:rPr>
            </w:pPr>
            <w:r w:rsidRPr="00452FA0">
              <w:rPr>
                <w:rFonts w:ascii="Aptos Display" w:hAnsi="Aptos Display" w:cs="Arial"/>
                <w:color w:val="0094C0"/>
                <w:sz w:val="20"/>
                <w:szCs w:val="20"/>
              </w:rPr>
              <w:t>25-11-03</w:t>
            </w:r>
          </w:p>
        </w:tc>
      </w:tr>
    </w:tbl>
    <w:p w14:paraId="09A63762" w14:textId="77777777" w:rsidR="00C52A0F" w:rsidRDefault="00C52A0F" w:rsidP="00C52A0F">
      <w:pPr>
        <w:spacing w:after="120" w:line="276" w:lineRule="auto"/>
        <w:jc w:val="both"/>
        <w:rPr>
          <w:rFonts w:ascii="Aptos Display" w:hAnsi="Aptos Display" w:cs="Arial"/>
          <w:szCs w:val="22"/>
        </w:rPr>
      </w:pPr>
    </w:p>
    <w:sdt>
      <w:sdtPr>
        <w:rPr>
          <w:rFonts w:ascii="Aptos Display" w:eastAsia="Times New Roman" w:hAnsi="Aptos Display" w:cs="Times New Roman"/>
          <w:b/>
          <w:bCs/>
          <w:smallCaps/>
          <w:color w:val="auto"/>
          <w:sz w:val="22"/>
          <w:szCs w:val="22"/>
        </w:rPr>
        <w:id w:val="464063064"/>
        <w:docPartObj>
          <w:docPartGallery w:val="Table of Contents"/>
          <w:docPartUnique/>
        </w:docPartObj>
      </w:sdtPr>
      <w:sdtEndPr>
        <w:rPr>
          <w:rFonts w:asciiTheme="minorHAnsi" w:hAnsiTheme="minorHAnsi"/>
          <w:b w:val="0"/>
          <w:bCs w:val="0"/>
          <w:smallCaps w:val="0"/>
          <w:szCs w:val="24"/>
        </w:rPr>
      </w:sdtEndPr>
      <w:sdtContent>
        <w:p w14:paraId="48A76C3D" w14:textId="77777777" w:rsidR="00C52A0F" w:rsidRPr="00B904ED" w:rsidRDefault="00C52A0F" w:rsidP="00C52A0F">
          <w:pPr>
            <w:pStyle w:val="Nadpisobsahu"/>
            <w:spacing w:before="0" w:after="120"/>
            <w:rPr>
              <w:rFonts w:ascii="Aptos Display" w:hAnsi="Aptos Display"/>
              <w:b/>
              <w:bCs/>
              <w:color w:val="auto"/>
              <w:sz w:val="22"/>
              <w:szCs w:val="22"/>
            </w:rPr>
          </w:pPr>
          <w:r w:rsidRPr="00B904ED">
            <w:rPr>
              <w:rFonts w:ascii="Aptos Display" w:hAnsi="Aptos Display"/>
              <w:color w:val="auto"/>
              <w:sz w:val="22"/>
              <w:szCs w:val="22"/>
            </w:rPr>
            <w:t>Obsah</w:t>
          </w:r>
        </w:p>
        <w:p w14:paraId="6C2EC845" w14:textId="26C87D75" w:rsidR="00ED02BE" w:rsidRDefault="00C52A0F">
          <w:pPr>
            <w:pStyle w:val="Obsah1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r w:rsidRPr="00B904ED">
            <w:rPr>
              <w:rFonts w:ascii="Aptos Display" w:hAnsi="Aptos Display"/>
              <w:szCs w:val="22"/>
            </w:rPr>
            <w:fldChar w:fldCharType="begin"/>
          </w:r>
          <w:r w:rsidRPr="00B904ED">
            <w:rPr>
              <w:rFonts w:ascii="Aptos Display" w:hAnsi="Aptos Display"/>
              <w:szCs w:val="22"/>
            </w:rPr>
            <w:instrText>TOC \o "1-3" \h \z \u</w:instrText>
          </w:r>
          <w:r w:rsidRPr="00B904ED">
            <w:rPr>
              <w:rFonts w:ascii="Aptos Display" w:hAnsi="Aptos Display"/>
              <w:szCs w:val="22"/>
            </w:rPr>
            <w:fldChar w:fldCharType="separate"/>
          </w:r>
          <w:hyperlink w:anchor="_Toc213649909" w:history="1">
            <w:r w:rsidR="00ED02BE" w:rsidRPr="00824A5F">
              <w:rPr>
                <w:rStyle w:val="Hypertextovodkaz"/>
                <w:rFonts w:ascii="Aptos Display" w:eastAsia="Arial" w:hAnsi="Aptos Display" w:cstheme="minorHAnsi"/>
                <w:caps/>
                <w:noProof/>
                <w:lang w:val="cs" w:eastAsia="ja-JP"/>
              </w:rPr>
              <w:t>1.</w:t>
            </w:r>
            <w:r w:rsidR="00ED02BE"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="00ED02BE" w:rsidRPr="00824A5F">
              <w:rPr>
                <w:rStyle w:val="Hypertextovodkaz"/>
                <w:rFonts w:ascii="Aptos Display" w:eastAsia="Arial" w:hAnsi="Aptos Display" w:cstheme="minorHAnsi"/>
                <w:caps/>
                <w:noProof/>
                <w:lang w:val="cs" w:eastAsia="ja-JP"/>
              </w:rPr>
              <w:t>P</w:t>
            </w:r>
            <w:r w:rsidR="00ED02BE" w:rsidRPr="00ED02BE">
              <w:rPr>
                <w:rStyle w:val="Nadpis1Char"/>
                <w:b w:val="0"/>
                <w:bCs w:val="0"/>
                <w:i w:val="0"/>
                <w:iCs/>
                <w:lang w:val="cs" w:eastAsia="ja-JP"/>
              </w:rPr>
              <w:t>odmínky</w:t>
            </w:r>
            <w:r w:rsidR="00ED02BE" w:rsidRPr="00824A5F">
              <w:rPr>
                <w:rStyle w:val="Hypertextovodkaz"/>
                <w:rFonts w:ascii="Aptos Display" w:eastAsia="Arial" w:hAnsi="Aptos Display" w:cstheme="minorHAnsi"/>
                <w:caps/>
                <w:noProof/>
                <w:lang w:val="cs" w:eastAsia="ja-JP"/>
              </w:rPr>
              <w:t xml:space="preserve"> DNSH</w:t>
            </w:r>
            <w:r w:rsidR="00ED02BE">
              <w:rPr>
                <w:noProof/>
                <w:webHidden/>
              </w:rPr>
              <w:tab/>
            </w:r>
            <w:r w:rsidR="00ED02BE">
              <w:rPr>
                <w:noProof/>
                <w:webHidden/>
              </w:rPr>
              <w:fldChar w:fldCharType="begin"/>
            </w:r>
            <w:r w:rsidR="00ED02BE">
              <w:rPr>
                <w:noProof/>
                <w:webHidden/>
              </w:rPr>
              <w:instrText xml:space="preserve"> PAGEREF _Toc213649909 \h </w:instrText>
            </w:r>
            <w:r w:rsidR="00ED02BE">
              <w:rPr>
                <w:noProof/>
                <w:webHidden/>
              </w:rPr>
            </w:r>
            <w:r w:rsidR="00ED02BE">
              <w:rPr>
                <w:noProof/>
                <w:webHidden/>
              </w:rPr>
              <w:fldChar w:fldCharType="separate"/>
            </w:r>
            <w:r w:rsidR="00ED02BE">
              <w:rPr>
                <w:noProof/>
                <w:webHidden/>
              </w:rPr>
              <w:t>1</w:t>
            </w:r>
            <w:r w:rsidR="00ED02BE">
              <w:rPr>
                <w:noProof/>
                <w:webHidden/>
              </w:rPr>
              <w:fldChar w:fldCharType="end"/>
            </w:r>
          </w:hyperlink>
        </w:p>
        <w:p w14:paraId="59C5E51E" w14:textId="2D6C454E" w:rsidR="00ED02BE" w:rsidRDefault="00ED02BE">
          <w:pPr>
            <w:pStyle w:val="Obsah2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hyperlink w:anchor="_Toc213649910" w:history="1">
            <w:r w:rsidRPr="00824A5F">
              <w:rPr>
                <w:rStyle w:val="Hypertextovodkaz"/>
                <w:rFonts w:ascii="Aptos Display" w:hAnsi="Aptos Display"/>
                <w:noProof/>
              </w:rPr>
              <w:t>1.1.</w:t>
            </w:r>
            <w:r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824A5F">
              <w:rPr>
                <w:rStyle w:val="Hypertextovodkaz"/>
                <w:rFonts w:ascii="Aptos Display" w:hAnsi="Aptos Display"/>
                <w:noProof/>
              </w:rPr>
              <w:t>Zmírňování změny klimatu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_Toc213649910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F39907" w14:textId="2A9268DA" w:rsidR="00ED02BE" w:rsidRDefault="00ED02BE">
          <w:pPr>
            <w:pStyle w:val="Obsah2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hyperlink w:anchor="_Toc213649911" w:history="1">
            <w:r w:rsidRPr="00824A5F">
              <w:rPr>
                <w:rStyle w:val="Hypertextovodkaz"/>
                <w:rFonts w:ascii="Aptos Display" w:hAnsi="Aptos Display"/>
                <w:noProof/>
              </w:rPr>
              <w:t>1.2.</w:t>
            </w:r>
            <w:r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824A5F">
              <w:rPr>
                <w:rStyle w:val="Hypertextovodkaz"/>
                <w:rFonts w:ascii="Aptos Display" w:hAnsi="Aptos Display"/>
                <w:noProof/>
              </w:rPr>
              <w:t>Udržitelné využívání a ochrana vodních a mořských zdrojů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_Toc213649911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424EF2" w14:textId="53319C11" w:rsidR="00ED02BE" w:rsidRDefault="00ED02BE">
          <w:pPr>
            <w:pStyle w:val="Obsah2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hyperlink w:anchor="_Toc213649912" w:history="1">
            <w:r w:rsidRPr="00824A5F">
              <w:rPr>
                <w:rStyle w:val="Hypertextovodkaz"/>
                <w:rFonts w:ascii="Aptos Display" w:hAnsi="Aptos Display"/>
                <w:noProof/>
              </w:rPr>
              <w:t>1.3.</w:t>
            </w:r>
            <w:r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824A5F">
              <w:rPr>
                <w:rStyle w:val="Hypertextovodkaz"/>
                <w:rFonts w:ascii="Aptos Display" w:hAnsi="Aptos Display"/>
                <w:noProof/>
              </w:rPr>
              <w:t>Přechod na oběhové hospodářství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_Toc213649912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DB9CF7" w14:textId="1269CCC7" w:rsidR="00ED02BE" w:rsidRDefault="00ED02BE">
          <w:pPr>
            <w:pStyle w:val="Obsah2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hyperlink w:anchor="_Toc213649913" w:history="1">
            <w:r w:rsidRPr="00824A5F">
              <w:rPr>
                <w:rStyle w:val="Hypertextovodkaz"/>
                <w:rFonts w:ascii="Aptos Display" w:hAnsi="Aptos Display"/>
                <w:noProof/>
              </w:rPr>
              <w:t>1.4.</w:t>
            </w:r>
            <w:r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824A5F">
              <w:rPr>
                <w:rStyle w:val="Hypertextovodkaz"/>
                <w:rFonts w:ascii="Aptos Display" w:hAnsi="Aptos Display"/>
                <w:noProof/>
              </w:rPr>
              <w:t>Prevence a omezování znečištění ovzduší, vody a krajiny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_Toc213649913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217DBC" w14:textId="10BF74F2" w:rsidR="00ED02BE" w:rsidRDefault="00ED02BE">
          <w:pPr>
            <w:pStyle w:val="Obsah2"/>
            <w:rPr>
              <w:rFonts w:eastAsiaTheme="minorEastAsia" w:cstheme="minorBidi"/>
              <w:noProof/>
              <w:kern w:val="2"/>
              <w:sz w:val="24"/>
              <w14:ligatures w14:val="standardContextual"/>
            </w:rPr>
          </w:pPr>
          <w:hyperlink w:anchor="_Toc213649914" w:history="1">
            <w:r w:rsidRPr="00824A5F">
              <w:rPr>
                <w:rStyle w:val="Hypertextovodkaz"/>
                <w:rFonts w:ascii="Aptos Display" w:hAnsi="Aptos Display"/>
                <w:noProof/>
              </w:rPr>
              <w:t>1.5.</w:t>
            </w:r>
            <w:r>
              <w:rPr>
                <w:rFonts w:eastAsiaTheme="minorEastAsia" w:cstheme="minorBidi"/>
                <w:noProof/>
                <w:kern w:val="2"/>
                <w:sz w:val="24"/>
                <w14:ligatures w14:val="standardContextual"/>
              </w:rPr>
              <w:tab/>
            </w:r>
            <w:r w:rsidRPr="00824A5F">
              <w:rPr>
                <w:rStyle w:val="Hypertextovodkaz"/>
                <w:rFonts w:ascii="Aptos Display" w:hAnsi="Aptos Display"/>
                <w:noProof/>
              </w:rPr>
              <w:t>Ochrana a obnova biologické rozmanitosti a ekosystémů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_Toc213649914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D8759D" w14:textId="40E14C25" w:rsidR="00C52A0F" w:rsidRDefault="00C52A0F" w:rsidP="00C52A0F">
          <w:pPr>
            <w:pStyle w:val="Obsah2"/>
            <w:tabs>
              <w:tab w:val="right" w:leader="dot" w:pos="9594"/>
            </w:tabs>
            <w:rPr>
              <w:bCs/>
              <w:i/>
            </w:rPr>
          </w:pPr>
          <w:r w:rsidRPr="00B904ED">
            <w:rPr>
              <w:rFonts w:ascii="Aptos Display" w:hAnsi="Aptos Display"/>
              <w:szCs w:val="22"/>
            </w:rPr>
            <w:fldChar w:fldCharType="end"/>
          </w:r>
        </w:p>
      </w:sdtContent>
    </w:sdt>
    <w:p w14:paraId="7E24B55D" w14:textId="77777777" w:rsidR="00C52A0F" w:rsidRPr="00F87DBF" w:rsidRDefault="00C52A0F" w:rsidP="00F87DBF">
      <w:pPr>
        <w:spacing w:after="120" w:line="276" w:lineRule="auto"/>
        <w:jc w:val="both"/>
        <w:rPr>
          <w:rFonts w:ascii="Aptos Display" w:hAnsi="Aptos Display" w:cs="Arial"/>
          <w:szCs w:val="22"/>
        </w:rPr>
      </w:pPr>
    </w:p>
    <w:p w14:paraId="614EACDD" w14:textId="06A2E702" w:rsidR="00C52A0F" w:rsidRPr="00F87DBF" w:rsidRDefault="00C52A0F" w:rsidP="00F87DBF">
      <w:pPr>
        <w:pStyle w:val="Nadpis1"/>
        <w:keepNext w:val="0"/>
        <w:numPr>
          <w:ilvl w:val="0"/>
          <w:numId w:val="15"/>
        </w:numPr>
        <w:shd w:val="pct5" w:color="auto" w:fill="auto"/>
        <w:spacing w:before="0" w:after="120" w:line="276" w:lineRule="auto"/>
        <w:ind w:left="714" w:hanging="357"/>
        <w:rPr>
          <w:rFonts w:ascii="Aptos Display" w:eastAsia="Arial" w:hAnsi="Aptos Display" w:cstheme="minorHAnsi"/>
          <w:i w:val="0"/>
          <w:caps/>
          <w:kern w:val="0"/>
          <w:sz w:val="22"/>
          <w:szCs w:val="22"/>
          <w:lang w:val="cs" w:eastAsia="ja-JP"/>
        </w:rPr>
      </w:pPr>
      <w:bookmarkStart w:id="0" w:name="_Toc213649909"/>
      <w:r w:rsidRPr="00F87DBF">
        <w:rPr>
          <w:rFonts w:ascii="Aptos Display" w:eastAsia="Arial" w:hAnsi="Aptos Display" w:cstheme="minorHAnsi"/>
          <w:i w:val="0"/>
          <w:caps/>
          <w:kern w:val="0"/>
          <w:sz w:val="22"/>
          <w:szCs w:val="22"/>
          <w:lang w:val="cs" w:eastAsia="ja-JP"/>
        </w:rPr>
        <w:t>P</w:t>
      </w:r>
      <w:r w:rsidR="00ED02BE">
        <w:rPr>
          <w:rFonts w:ascii="Aptos Display" w:eastAsia="Arial" w:hAnsi="Aptos Display" w:cstheme="minorHAnsi"/>
          <w:i w:val="0"/>
          <w:caps/>
          <w:kern w:val="0"/>
          <w:sz w:val="22"/>
          <w:szCs w:val="22"/>
          <w:lang w:val="cs" w:eastAsia="ja-JP"/>
        </w:rPr>
        <w:t>odmínky DNSH</w:t>
      </w:r>
      <w:bookmarkEnd w:id="0"/>
    </w:p>
    <w:p w14:paraId="191D0DDD" w14:textId="360233DD" w:rsidR="00ED02BE" w:rsidRPr="00ED02BE" w:rsidRDefault="00ED02BE" w:rsidP="00ED02BE">
      <w:pPr>
        <w:spacing w:after="150"/>
        <w:ind w:left="0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 xml:space="preserve">V souladu s principem „Do No Significant Harm“ (DNSH) dle nařízení Evropského parlamentu a Rady (EU) 2020/852 (nařízení o taxonomii) musí zpracovatel projektové dokumentace zajistit, že projekt </w:t>
      </w:r>
      <w:r w:rsidR="00463C7A">
        <w:rPr>
          <w:rFonts w:ascii="Aptos Display" w:hAnsi="Aptos Display"/>
          <w:szCs w:val="22"/>
        </w:rPr>
        <w:t>intenzifikaci</w:t>
      </w:r>
      <w:r w:rsidRPr="00ED02BE">
        <w:rPr>
          <w:rFonts w:ascii="Aptos Display" w:hAnsi="Aptos Display"/>
          <w:szCs w:val="22"/>
        </w:rPr>
        <w:t xml:space="preserve"> čistírny odpadních vod (ČOV) nebude významně poškozovat žádný z šesti environmentálních cílů EU:</w:t>
      </w:r>
    </w:p>
    <w:p w14:paraId="0AA99A33" w14:textId="77777777" w:rsidR="00ED02BE" w:rsidRPr="00ED02BE" w:rsidRDefault="00ED02BE" w:rsidP="00ED02BE">
      <w:pPr>
        <w:pStyle w:val="Nadpis2"/>
        <w:rPr>
          <w:rFonts w:ascii="Aptos Display" w:hAnsi="Aptos Display"/>
          <w:sz w:val="22"/>
          <w:szCs w:val="22"/>
        </w:rPr>
      </w:pPr>
      <w:bookmarkStart w:id="1" w:name="_Toc213649910"/>
      <w:r w:rsidRPr="00ED02BE">
        <w:rPr>
          <w:rFonts w:ascii="Aptos Display" w:hAnsi="Aptos Display"/>
          <w:sz w:val="22"/>
          <w:szCs w:val="22"/>
        </w:rPr>
        <w:t>Zmírňování změny klimatu</w:t>
      </w:r>
      <w:bookmarkEnd w:id="1"/>
    </w:p>
    <w:p w14:paraId="278D51DF" w14:textId="77777777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>Návrh musí minimalizovat emise skleníkových plynů, například použitím energeticky úsporných technologií pro provoz ČOV.</w:t>
      </w:r>
    </w:p>
    <w:p w14:paraId="738AAC74" w14:textId="77777777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>Preferovat obnovitelné zdroje energie pro provoz zařízení (např. solární panely, využití bioplynu z ČOV).</w:t>
      </w:r>
    </w:p>
    <w:p w14:paraId="2A06D32E" w14:textId="77777777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>Optimalizovat přečerpávací stanice a gravitační kanalizaci s cílem snížit energetickou náročnost.</w:t>
      </w:r>
    </w:p>
    <w:p w14:paraId="62E05B0F" w14:textId="63E8D27D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>Při náhradě hlavního zdroje tepla jsou tam, kde je to vhodné a ekonomicky, funkčně a technicky možné, upřednostňovány nízkouhlíkové technologie, tj. dálkové vytápění nebo tepelná čerpadla.</w:t>
      </w:r>
    </w:p>
    <w:p w14:paraId="54123600" w14:textId="721267C2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>Pokud bude v rámci náhrady hlavního zdroje tepla instalován plynový kondenzační kotel, musí:</w:t>
      </w:r>
      <w:r>
        <w:rPr>
          <w:rFonts w:ascii="Aptos Display" w:hAnsi="Aptos Display"/>
          <w:szCs w:val="22"/>
        </w:rPr>
        <w:t xml:space="preserve"> </w:t>
      </w:r>
      <w:r w:rsidRPr="00ED02BE">
        <w:rPr>
          <w:rFonts w:ascii="Aptos Display" w:hAnsi="Aptos Display"/>
          <w:i/>
          <w:iCs/>
          <w:szCs w:val="22"/>
        </w:rPr>
        <w:t>instalace umožnit pozdější napojení fotovoltaických nebo fototermických systémů;</w:t>
      </w:r>
      <w:r w:rsidRPr="00ED02BE">
        <w:rPr>
          <w:rFonts w:ascii="Aptos Display" w:hAnsi="Aptos Display"/>
          <w:i/>
          <w:iCs/>
          <w:szCs w:val="22"/>
        </w:rPr>
        <w:br/>
        <w:t xml:space="preserve"> - náklady na pořízení a instalaci tvořit nanejvýš 20 % dané (stavební) investice;</w:t>
      </w:r>
      <w:r w:rsidRPr="00ED02BE">
        <w:rPr>
          <w:rFonts w:ascii="Aptos Display" w:hAnsi="Aptos Display"/>
          <w:i/>
          <w:iCs/>
          <w:szCs w:val="22"/>
        </w:rPr>
        <w:br/>
        <w:t xml:space="preserve"> - odpovídat nejméně energetické třídě A;</w:t>
      </w:r>
      <w:r w:rsidRPr="00ED02BE">
        <w:rPr>
          <w:rFonts w:ascii="Aptos Display" w:hAnsi="Aptos Display"/>
          <w:i/>
          <w:iCs/>
          <w:szCs w:val="22"/>
        </w:rPr>
        <w:tab/>
      </w:r>
      <w:r w:rsidRPr="00ED02BE">
        <w:rPr>
          <w:rFonts w:ascii="Aptos Display" w:hAnsi="Aptos Display"/>
          <w:i/>
          <w:iCs/>
          <w:szCs w:val="22"/>
        </w:rPr>
        <w:br/>
        <w:t xml:space="preserve"> - splňovat platné parametry nařízení Komise (EU) č. 813/2013 (o ekodesignu), v platném znění.</w:t>
      </w:r>
    </w:p>
    <w:p w14:paraId="59AE78E3" w14:textId="77777777" w:rsidR="00ED02BE" w:rsidRPr="00ED02BE" w:rsidRDefault="00ED02BE" w:rsidP="00ED02BE">
      <w:pPr>
        <w:numPr>
          <w:ilvl w:val="0"/>
          <w:numId w:val="29"/>
        </w:numPr>
        <w:tabs>
          <w:tab w:val="clear" w:pos="720"/>
        </w:tabs>
        <w:spacing w:before="120" w:after="150" w:line="240" w:lineRule="auto"/>
        <w:ind w:left="426"/>
        <w:jc w:val="both"/>
        <w:rPr>
          <w:rFonts w:ascii="Aptos Display" w:hAnsi="Aptos Display"/>
          <w:b/>
          <w:bCs/>
          <w:szCs w:val="22"/>
        </w:rPr>
      </w:pPr>
      <w:r w:rsidRPr="00ED02BE">
        <w:rPr>
          <w:rFonts w:ascii="Aptos Display" w:hAnsi="Aptos Display"/>
          <w:b/>
          <w:bCs/>
          <w:szCs w:val="22"/>
        </w:rPr>
        <w:t>Adaptace na změnu klimatu</w:t>
      </w:r>
    </w:p>
    <w:p w14:paraId="156082F8" w14:textId="77777777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>Projekt musí zohledňovat rizika spojená s klimatickými změnami, jako jsou záplavy, extrémní srážky či sucho.</w:t>
      </w:r>
    </w:p>
    <w:p w14:paraId="328D2A27" w14:textId="77777777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>Návrh systému kanalizace a ČOV musí být odolný vůči extrémním povětrnostním jevům.</w:t>
      </w:r>
    </w:p>
    <w:p w14:paraId="6C96EDA3" w14:textId="77777777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>Využít opatření na zadržování a efektivní řízení srážkových vod (např. retenční nádrže, propustné povrchy). Tam, kde je to vhodné a ekonomicky, funkčně a technicky možné, je osazena střešní nebo fasádní zeleň.</w:t>
      </w:r>
    </w:p>
    <w:p w14:paraId="75276D63" w14:textId="77777777" w:rsidR="00ED02BE" w:rsidRPr="00ED02BE" w:rsidRDefault="00ED02BE" w:rsidP="00ED02BE">
      <w:pPr>
        <w:pStyle w:val="Nadpis2"/>
        <w:rPr>
          <w:rFonts w:ascii="Aptos Display" w:hAnsi="Aptos Display"/>
          <w:sz w:val="22"/>
          <w:szCs w:val="22"/>
        </w:rPr>
      </w:pPr>
      <w:bookmarkStart w:id="2" w:name="_Toc213649911"/>
      <w:r w:rsidRPr="00ED02BE">
        <w:rPr>
          <w:rFonts w:ascii="Aptos Display" w:hAnsi="Aptos Display"/>
          <w:sz w:val="22"/>
          <w:szCs w:val="22"/>
        </w:rPr>
        <w:t>Udržitelné využívání a ochrana vodních a mořských zdrojů</w:t>
      </w:r>
      <w:bookmarkEnd w:id="2"/>
    </w:p>
    <w:p w14:paraId="049C73D1" w14:textId="77777777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>Návrh musí zajistit efektivní čištění odpadních vod tak, aby výstupní parametry odpovídaly požadavkům legislativy (např. směrnice 91/271/EHS o čištění městských odpadních vod).</w:t>
      </w:r>
    </w:p>
    <w:p w14:paraId="0113CE5B" w14:textId="77777777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>Minimalizace úniku škodlivých látek do povrchových a podzemních vod.</w:t>
      </w:r>
    </w:p>
    <w:p w14:paraId="6FE019BA" w14:textId="77777777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lastRenderedPageBreak/>
        <w:t>Možnost opětovného využití vyčištěné vody v souladu s nařízením EU 2020/741.</w:t>
      </w:r>
    </w:p>
    <w:p w14:paraId="0347D5E8" w14:textId="77777777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>V případě výstavby nových budov (týká se i přístaveb a nástaveb) a u revitalizací zahrnující zdravotně technické instalace všechna relevantní zařízení využívající vodu (sprchy, vany, WC atd.) dosahují následujících parametrů:</w:t>
      </w:r>
    </w:p>
    <w:p w14:paraId="75E5E27F" w14:textId="77777777" w:rsidR="00ED02BE" w:rsidRPr="00ED02BE" w:rsidRDefault="00ED02BE" w:rsidP="00ED02BE">
      <w:pPr>
        <w:pStyle w:val="Odstavecseseznamem"/>
        <w:spacing w:after="150"/>
        <w:ind w:left="851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 xml:space="preserve">  </w:t>
      </w:r>
      <w:r w:rsidRPr="00ED02BE">
        <w:rPr>
          <w:rFonts w:ascii="Aptos Display" w:hAnsi="Aptos Display"/>
          <w:i/>
          <w:iCs/>
          <w:szCs w:val="22"/>
        </w:rPr>
        <w:t>- umyvadlové baterie a kuchyňské baterie mají maximální průtok vody 6 litrů/min;</w:t>
      </w:r>
      <w:r w:rsidRPr="00ED02BE">
        <w:rPr>
          <w:rFonts w:ascii="Aptos Display" w:hAnsi="Aptos Display"/>
          <w:i/>
          <w:iCs/>
          <w:szCs w:val="22"/>
        </w:rPr>
        <w:tab/>
      </w:r>
      <w:r w:rsidRPr="00ED02BE">
        <w:rPr>
          <w:rFonts w:ascii="Aptos Display" w:hAnsi="Aptos Display"/>
          <w:i/>
          <w:iCs/>
          <w:szCs w:val="22"/>
        </w:rPr>
        <w:br/>
        <w:t xml:space="preserve"> - sprchy mají maximální průtok vody 8 litrů/min;</w:t>
      </w:r>
      <w:r w:rsidRPr="00ED02BE">
        <w:rPr>
          <w:rFonts w:ascii="Aptos Display" w:hAnsi="Aptos Display"/>
          <w:i/>
          <w:iCs/>
          <w:szCs w:val="22"/>
        </w:rPr>
        <w:tab/>
      </w:r>
      <w:r w:rsidRPr="00ED02BE">
        <w:rPr>
          <w:rFonts w:ascii="Aptos Display" w:hAnsi="Aptos Display"/>
          <w:i/>
          <w:iCs/>
          <w:szCs w:val="22"/>
        </w:rPr>
        <w:br/>
        <w:t xml:space="preserve"> - WC zahrnující soupravy, mísy a splachovací nádrže mají úplný objem splachovací vody maximálně 6 litrů a maximální průměrný objem splachovací vody 3,5 litru;</w:t>
      </w:r>
      <w:r w:rsidRPr="00ED02BE">
        <w:rPr>
          <w:rFonts w:ascii="Aptos Display" w:hAnsi="Aptos Display"/>
          <w:i/>
          <w:iCs/>
          <w:szCs w:val="22"/>
        </w:rPr>
        <w:tab/>
      </w:r>
      <w:r w:rsidRPr="00ED02BE">
        <w:rPr>
          <w:rFonts w:ascii="Aptos Display" w:hAnsi="Aptos Display"/>
          <w:i/>
          <w:iCs/>
          <w:szCs w:val="22"/>
        </w:rPr>
        <w:br/>
        <w:t xml:space="preserve"> - pisoáry spotřebují maximálně 2 litry/mísu/hodinu. Splachovací pisoáry mají maximální úplný objem splachovací vody 1 litr.</w:t>
      </w:r>
    </w:p>
    <w:p w14:paraId="0F2F0B57" w14:textId="77777777" w:rsidR="00ED02BE" w:rsidRPr="00ED02BE" w:rsidRDefault="00ED02BE" w:rsidP="00ED02BE">
      <w:pPr>
        <w:spacing w:after="150"/>
        <w:ind w:left="0" w:firstLine="417"/>
        <w:jc w:val="both"/>
        <w:rPr>
          <w:rFonts w:ascii="Aptos Display" w:hAnsi="Aptos Display"/>
          <w:b/>
          <w:bCs/>
          <w:szCs w:val="22"/>
        </w:rPr>
      </w:pPr>
      <w:r w:rsidRPr="00ED02BE">
        <w:rPr>
          <w:rFonts w:ascii="Aptos Display" w:hAnsi="Aptos Display"/>
          <w:b/>
          <w:bCs/>
          <w:szCs w:val="22"/>
        </w:rPr>
        <w:t>Výše uvedené hodnoty budou uvedené v technické zprávě.</w:t>
      </w:r>
    </w:p>
    <w:p w14:paraId="1AD2D410" w14:textId="77777777" w:rsidR="00ED02BE" w:rsidRPr="00ED02BE" w:rsidRDefault="00ED02BE" w:rsidP="00ED02BE">
      <w:pPr>
        <w:pStyle w:val="Nadpis2"/>
        <w:rPr>
          <w:rFonts w:ascii="Aptos Display" w:hAnsi="Aptos Display"/>
          <w:sz w:val="22"/>
          <w:szCs w:val="22"/>
        </w:rPr>
      </w:pPr>
      <w:bookmarkStart w:id="3" w:name="_Toc213649912"/>
      <w:r w:rsidRPr="00ED02BE">
        <w:rPr>
          <w:rFonts w:ascii="Aptos Display" w:hAnsi="Aptos Display"/>
          <w:sz w:val="22"/>
          <w:szCs w:val="22"/>
        </w:rPr>
        <w:t>Přechod na oběhové hospodářství</w:t>
      </w:r>
      <w:bookmarkEnd w:id="3"/>
    </w:p>
    <w:p w14:paraId="251E19EB" w14:textId="77777777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>Nejméně 70 % (hmotnostních) stavebního a demoličního odpadu neklasifikovaného jako nebezpečný (s výjimkou v přírodě se vyskytujících materiálů uvedených v kategorii 17 05 04 v Evropském seznamu odpadů stanoveném rozhodnutím 2000/532/ES) vzniklého na staveništi je připraveno k opětovnému použití, recyklaci a k jiným druhům materiálového využití (včetně zásypů, při nichž jsou jiné materiály nahrazeny odpadem), v souladu s hierarchií způsobů nakládání s odpady a protokolem EU pro nakládání se stavebním a demoličním odpadem.</w:t>
      </w:r>
    </w:p>
    <w:p w14:paraId="0ED51761" w14:textId="77777777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>Bude provedena identifikace předpokládaných odpadních materiálů na staveništi zahrnující také obalové materiály stavebních výrobků. Identifikace je provedena kvalifikovaných odhadem s ohledem na druh odpadu a jeho zatřídění (podle vyhlášky č. 8/2021 Sb.) a stanovení přibližného objemu (hmotnosti). Zvlášť bude identifikován nebezpečný odpad v rozsahu vyhlášky č. 8/2021 Sb.</w:t>
      </w:r>
    </w:p>
    <w:p w14:paraId="1FEE90E6" w14:textId="77777777" w:rsidR="00ED02BE" w:rsidRPr="00ED02BE" w:rsidRDefault="00ED02BE" w:rsidP="00ED02BE">
      <w:pPr>
        <w:pStyle w:val="Nadpis2"/>
        <w:rPr>
          <w:rFonts w:ascii="Aptos Display" w:hAnsi="Aptos Display"/>
          <w:sz w:val="22"/>
          <w:szCs w:val="22"/>
        </w:rPr>
      </w:pPr>
      <w:bookmarkStart w:id="4" w:name="_Toc213649913"/>
      <w:r w:rsidRPr="00ED02BE">
        <w:rPr>
          <w:rFonts w:ascii="Aptos Display" w:hAnsi="Aptos Display"/>
          <w:sz w:val="22"/>
          <w:szCs w:val="22"/>
        </w:rPr>
        <w:t>Prevence a omezování znečištění ovzduší, vody a krajiny</w:t>
      </w:r>
      <w:bookmarkEnd w:id="4"/>
    </w:p>
    <w:p w14:paraId="1E3984EC" w14:textId="77777777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>Minimalizace použití chemikálií v procesu čištění.</w:t>
      </w:r>
    </w:p>
    <w:p w14:paraId="1FAD2282" w14:textId="77777777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>Řešení nakládání s nebezpečnými odpady vznikajícími při provozu ČOV</w:t>
      </w:r>
    </w:p>
    <w:p w14:paraId="5011A7B9" w14:textId="77777777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 xml:space="preserve">Projektem nedojde ke zvýšení emisí znečišťujících látek do vody, ovzduší a půdy a budou přijímána opatření ke snížení hluku, prachu a emisí znečišťujících látek při stavebních nebo údržbářských pracích. </w:t>
      </w:r>
    </w:p>
    <w:p w14:paraId="505C3D85" w14:textId="77777777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 xml:space="preserve">Projektem nedojde ke zvýšení hlukové zátěže obyvatelstva a světelného znečištění. </w:t>
      </w:r>
    </w:p>
    <w:p w14:paraId="7DB104EF" w14:textId="77777777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 xml:space="preserve">Před realizací stavby budou vyřešeny ekologické zátěže, pokud se na některém z dotčených pozemku nacházejí. </w:t>
      </w:r>
    </w:p>
    <w:p w14:paraId="0B173B11" w14:textId="77777777" w:rsidR="00ED02BE" w:rsidRPr="00ED02BE" w:rsidRDefault="00ED02BE" w:rsidP="00ED02BE">
      <w:pPr>
        <w:numPr>
          <w:ilvl w:val="1"/>
          <w:numId w:val="35"/>
        </w:numPr>
        <w:spacing w:before="120" w:after="150" w:line="240" w:lineRule="auto"/>
        <w:ind w:left="567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 xml:space="preserve">Na staveništi bude provedeno šetření na potenciální kontaminující látky.  </w:t>
      </w:r>
    </w:p>
    <w:p w14:paraId="1541A091" w14:textId="77777777" w:rsidR="00ED02BE" w:rsidRDefault="00ED02BE" w:rsidP="00ED02BE">
      <w:pPr>
        <w:spacing w:after="150"/>
        <w:ind w:left="0"/>
        <w:jc w:val="both"/>
        <w:rPr>
          <w:rFonts w:ascii="Aptos Display" w:hAnsi="Aptos Display"/>
          <w:b/>
          <w:bCs/>
          <w:szCs w:val="22"/>
        </w:rPr>
      </w:pPr>
      <w:r w:rsidRPr="00ED02BE">
        <w:rPr>
          <w:rFonts w:ascii="Aptos Display" w:hAnsi="Aptos Display"/>
          <w:b/>
          <w:bCs/>
          <w:szCs w:val="22"/>
        </w:rPr>
        <w:t>Bude doloženo souhrnným stanoviskem orgánu ochrany životního prostředí, je-li stanovisko relevantní.</w:t>
      </w:r>
    </w:p>
    <w:p w14:paraId="7FC0FD8E" w14:textId="674557DC" w:rsidR="00A2086D" w:rsidRDefault="00A2086D">
      <w:pPr>
        <w:spacing w:after="160" w:line="259" w:lineRule="auto"/>
        <w:ind w:left="0"/>
        <w:rPr>
          <w:rFonts w:ascii="Aptos Display" w:hAnsi="Aptos Display"/>
          <w:b/>
          <w:bCs/>
          <w:szCs w:val="22"/>
        </w:rPr>
      </w:pPr>
      <w:r>
        <w:rPr>
          <w:rFonts w:ascii="Aptos Display" w:hAnsi="Aptos Display"/>
          <w:b/>
          <w:bCs/>
          <w:szCs w:val="22"/>
        </w:rPr>
        <w:br w:type="page"/>
      </w:r>
    </w:p>
    <w:p w14:paraId="6A487EBE" w14:textId="77777777" w:rsidR="00ED02BE" w:rsidRPr="00ED02BE" w:rsidRDefault="00ED02BE" w:rsidP="00ED02BE">
      <w:pPr>
        <w:spacing w:after="150"/>
        <w:ind w:left="0"/>
        <w:jc w:val="both"/>
        <w:rPr>
          <w:rFonts w:ascii="Aptos Display" w:hAnsi="Aptos Display"/>
          <w:b/>
          <w:bCs/>
          <w:szCs w:val="22"/>
        </w:rPr>
      </w:pPr>
    </w:p>
    <w:p w14:paraId="11B9A6A8" w14:textId="77777777" w:rsidR="00ED02BE" w:rsidRPr="00ED02BE" w:rsidRDefault="00ED02BE" w:rsidP="00ED02BE">
      <w:pPr>
        <w:pStyle w:val="Nadpis2"/>
        <w:rPr>
          <w:rFonts w:ascii="Aptos Display" w:hAnsi="Aptos Display"/>
          <w:sz w:val="22"/>
          <w:szCs w:val="22"/>
        </w:rPr>
      </w:pPr>
      <w:bookmarkStart w:id="5" w:name="_Toc213649914"/>
      <w:r w:rsidRPr="00ED02BE">
        <w:rPr>
          <w:rFonts w:ascii="Aptos Display" w:hAnsi="Aptos Display"/>
          <w:sz w:val="22"/>
          <w:szCs w:val="22"/>
        </w:rPr>
        <w:t>Ochrana a obnova biologické rozmanitosti a ekosystémů</w:t>
      </w:r>
      <w:bookmarkEnd w:id="5"/>
    </w:p>
    <w:p w14:paraId="1A3B358E" w14:textId="0AA449E5" w:rsidR="00ED02BE" w:rsidRPr="00ED02BE" w:rsidRDefault="00ED02BE" w:rsidP="00ED02BE">
      <w:pPr>
        <w:spacing w:before="120" w:after="150" w:line="240" w:lineRule="auto"/>
        <w:ind w:left="0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szCs w:val="22"/>
        </w:rPr>
        <w:t>V rámci řešeného projektu budou proved</w:t>
      </w:r>
      <w:r w:rsidR="00F96745">
        <w:rPr>
          <w:rFonts w:ascii="Aptos Display" w:hAnsi="Aptos Display"/>
          <w:szCs w:val="22"/>
        </w:rPr>
        <w:t>ena</w:t>
      </w:r>
      <w:r w:rsidRPr="00ED02BE">
        <w:rPr>
          <w:rFonts w:ascii="Aptos Display" w:hAnsi="Aptos Display"/>
          <w:szCs w:val="22"/>
        </w:rPr>
        <w:t xml:space="preserve"> příslušná posouzení území z pohledu zákona č. 114/1992 Sb., o ochraně přírody a krajiny a zákona č. 100/2001 Sb., o posuzování vlivů na životní prostředí případně jiných předpisů z oblasti životního prostředí a </w:t>
      </w:r>
      <w:r w:rsidR="00B67B32">
        <w:rPr>
          <w:rFonts w:ascii="Aptos Display" w:hAnsi="Aptos Display"/>
          <w:szCs w:val="22"/>
        </w:rPr>
        <w:t>bude zajištěno,</w:t>
      </w:r>
      <w:r w:rsidRPr="00ED02BE">
        <w:rPr>
          <w:rFonts w:ascii="Aptos Display" w:hAnsi="Aptos Display"/>
          <w:szCs w:val="22"/>
        </w:rPr>
        <w:t xml:space="preserve"> že investiční záměr nebude ve významné míře negativně ovlivňovat předměty ochrany přírody a krajiny. Toto dokládáme seznamem provedených ochranných, zmírňujících a kompenzačních opatření, v případě že tato opatření byla dle zákonných požadavků doporučena.</w:t>
      </w:r>
    </w:p>
    <w:p w14:paraId="5A7AECAA" w14:textId="77777777" w:rsidR="00ED02BE" w:rsidRPr="00ED02BE" w:rsidRDefault="00ED02BE" w:rsidP="00ED02BE">
      <w:pPr>
        <w:spacing w:after="150"/>
        <w:ind w:left="0"/>
        <w:jc w:val="both"/>
        <w:rPr>
          <w:rFonts w:ascii="Aptos Display" w:hAnsi="Aptos Display"/>
          <w:szCs w:val="22"/>
        </w:rPr>
      </w:pPr>
      <w:r w:rsidRPr="00ED02BE">
        <w:rPr>
          <w:rFonts w:ascii="Aptos Display" w:hAnsi="Aptos Display"/>
          <w:b/>
          <w:bCs/>
          <w:szCs w:val="22"/>
        </w:rPr>
        <w:t>V rámci dokladové části projektu bude předloženo souhrnné stanovisko orgánu ochrany životní prostředí, případně závazné stanovisko posouzení životního prostředí dle zákona o posuzování vlivů stavby na životní prostředí, či další stanoviska dotčených orgánů životního prostředí</w:t>
      </w:r>
    </w:p>
    <w:p w14:paraId="38D62746" w14:textId="77777777" w:rsidR="00ED02BE" w:rsidRPr="00ED02BE" w:rsidRDefault="00ED02BE" w:rsidP="00ED02BE">
      <w:pPr>
        <w:spacing w:after="150"/>
        <w:ind w:left="0"/>
        <w:jc w:val="both"/>
        <w:rPr>
          <w:rFonts w:ascii="Aptos Display" w:hAnsi="Aptos Display"/>
          <w:b/>
          <w:bCs/>
          <w:szCs w:val="22"/>
        </w:rPr>
      </w:pPr>
      <w:r w:rsidRPr="00ED02BE">
        <w:rPr>
          <w:rFonts w:ascii="Aptos Display" w:hAnsi="Aptos Display"/>
          <w:szCs w:val="22"/>
        </w:rPr>
        <w:t>Závěr:</w:t>
      </w:r>
      <w:r w:rsidRPr="00ED02BE">
        <w:rPr>
          <w:rFonts w:ascii="Aptos Display" w:hAnsi="Aptos Display"/>
          <w:szCs w:val="22"/>
        </w:rPr>
        <w:br/>
        <w:t>Projektová dokumentace musí obsahovat technické a provozní opatření, která zajistí splnění principu DNSH a nebudou mít negativní dopad na žádný z výše uvedených environmentálních cílů. Projektant je povinen tato opatření popsat a zdůvodnit v rámci dokumentace, včetně posouzení environmentálních dopadů navrženého řešení.</w:t>
      </w:r>
    </w:p>
    <w:p w14:paraId="0AAD8964" w14:textId="77777777" w:rsidR="00ED02BE" w:rsidRPr="00BE0C20" w:rsidRDefault="00ED02BE" w:rsidP="00ED02BE">
      <w:pPr>
        <w:spacing w:after="150"/>
        <w:jc w:val="both"/>
        <w:rPr>
          <w:szCs w:val="22"/>
        </w:rPr>
      </w:pPr>
    </w:p>
    <w:p w14:paraId="02C71668" w14:textId="0627C2D8" w:rsidR="002F1F87" w:rsidRPr="002F1F87" w:rsidRDefault="002F1F87" w:rsidP="00ED02BE">
      <w:pPr>
        <w:spacing w:after="120"/>
        <w:ind w:left="0"/>
        <w:rPr>
          <w:rFonts w:ascii="Aptos Display" w:hAnsi="Aptos Display"/>
          <w:szCs w:val="22"/>
        </w:rPr>
      </w:pPr>
    </w:p>
    <w:sectPr w:rsidR="002F1F87" w:rsidRPr="002F1F87" w:rsidSect="00BD01B5">
      <w:footerReference w:type="default" r:id="rId11"/>
      <w:headerReference w:type="first" r:id="rId12"/>
      <w:footerReference w:type="first" r:id="rId13"/>
      <w:pgSz w:w="11906" w:h="16838"/>
      <w:pgMar w:top="1307" w:right="1274" w:bottom="1134" w:left="1134" w:header="56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D92E8" w14:textId="77777777" w:rsidR="00E70D69" w:rsidRDefault="00E70D69" w:rsidP="00B40646">
      <w:r>
        <w:separator/>
      </w:r>
    </w:p>
  </w:endnote>
  <w:endnote w:type="continuationSeparator" w:id="0">
    <w:p w14:paraId="6B14D309" w14:textId="77777777" w:rsidR="00E70D69" w:rsidRDefault="00E70D69" w:rsidP="00B40646">
      <w:r>
        <w:continuationSeparator/>
      </w:r>
    </w:p>
  </w:endnote>
  <w:endnote w:type="continuationNotice" w:id="1">
    <w:p w14:paraId="6EA3AB2F" w14:textId="77777777" w:rsidR="00E70D69" w:rsidRDefault="00E70D6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i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3926890"/>
      <w:docPartObj>
        <w:docPartGallery w:val="Page Numbers (Bottom of Page)"/>
        <w:docPartUnique/>
      </w:docPartObj>
    </w:sdtPr>
    <w:sdtContent>
      <w:p w14:paraId="4C7A785C" w14:textId="77777777" w:rsidR="000B671A" w:rsidRPr="006671A1" w:rsidRDefault="000B671A" w:rsidP="000B671A">
        <w:pPr>
          <w:pStyle w:val="Zpat"/>
          <w:pBdr>
            <w:bottom w:val="single" w:sz="6" w:space="1" w:color="auto"/>
          </w:pBdr>
          <w:ind w:left="0"/>
          <w:jc w:val="center"/>
          <w:rPr>
            <w:sz w:val="8"/>
            <w:szCs w:val="10"/>
          </w:rPr>
        </w:pPr>
      </w:p>
      <w:p w14:paraId="116847ED" w14:textId="77777777" w:rsidR="000B671A" w:rsidRDefault="000B671A" w:rsidP="000B671A">
        <w:pPr>
          <w:pStyle w:val="Zpat"/>
          <w:ind w:left="0"/>
          <w:jc w:val="center"/>
        </w:pPr>
      </w:p>
      <w:p w14:paraId="689C1527" w14:textId="5D7890D8" w:rsidR="000B671A" w:rsidRDefault="000B671A" w:rsidP="000B671A">
        <w:pPr>
          <w:pStyle w:val="Zpat"/>
          <w:ind w:left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>
          <w:fldChar w:fldCharType="begin"/>
        </w:r>
        <w:r>
          <w:instrText>NUMPAGES</w:instrText>
        </w:r>
        <w:r>
          <w:fldChar w:fldCharType="separate"/>
        </w:r>
        <w:r>
          <w:t>27</w:t>
        </w:r>
        <w:r>
          <w:fldChar w:fldCharType="end"/>
        </w:r>
      </w:p>
    </w:sdtContent>
  </w:sdt>
  <w:p w14:paraId="239A98AE" w14:textId="2B7F7A53" w:rsidR="00E25FC4" w:rsidRPr="000B671A" w:rsidRDefault="00E25FC4" w:rsidP="000B671A">
    <w:pPr>
      <w:pStyle w:val="Zpat"/>
      <w:ind w:left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F179B" w14:textId="77777777" w:rsidR="00553F84" w:rsidRDefault="00553F84" w:rsidP="00553F8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6</w:t>
    </w:r>
    <w:r>
      <w:fldChar w:fldCharType="end"/>
    </w:r>
  </w:p>
  <w:p w14:paraId="574DA32A" w14:textId="77777777" w:rsidR="00DC0821" w:rsidRDefault="00DC08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7D04D" w14:textId="77777777" w:rsidR="00E70D69" w:rsidRDefault="00E70D69" w:rsidP="00B40646">
      <w:r>
        <w:separator/>
      </w:r>
    </w:p>
  </w:footnote>
  <w:footnote w:type="continuationSeparator" w:id="0">
    <w:p w14:paraId="72D6F677" w14:textId="77777777" w:rsidR="00E70D69" w:rsidRDefault="00E70D69" w:rsidP="00B40646">
      <w:r>
        <w:continuationSeparator/>
      </w:r>
    </w:p>
  </w:footnote>
  <w:footnote w:type="continuationNotice" w:id="1">
    <w:p w14:paraId="721A5212" w14:textId="77777777" w:rsidR="00E70D69" w:rsidRDefault="00E70D6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6B5BC" w14:textId="77777777" w:rsidR="00553F84" w:rsidRDefault="00553F84" w:rsidP="00553F84">
    <w:pPr>
      <w:pStyle w:val="Zhlav"/>
    </w:pPr>
    <w:r>
      <w:rPr>
        <w:noProof/>
        <w:sz w:val="18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45A6D5E6" wp14:editId="2472C698">
              <wp:simplePos x="0" y="0"/>
              <wp:positionH relativeFrom="column">
                <wp:posOffset>-166370</wp:posOffset>
              </wp:positionH>
              <wp:positionV relativeFrom="paragraph">
                <wp:posOffset>-306705</wp:posOffset>
              </wp:positionV>
              <wp:extent cx="6664960" cy="281305"/>
              <wp:effectExtent l="0" t="0" r="2540" b="4445"/>
              <wp:wrapSquare wrapText="bothSides"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4960" cy="2813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0CCB50" w14:textId="1AB00768" w:rsidR="00553F84" w:rsidRPr="00E8058A" w:rsidRDefault="00553F84" w:rsidP="000A2783">
                          <w:pPr>
                            <w:pStyle w:val="Zhlav"/>
                            <w:jc w:val="right"/>
                            <w:rPr>
                              <w:i/>
                              <w:color w:val="0070C0"/>
                              <w:u w:val="single"/>
                            </w:rPr>
                          </w:pP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begin"/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instrText xml:space="preserve"> FILENAME </w:instrTex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separate"/>
                          </w:r>
                          <w:r w:rsidR="00AE421E">
                            <w:rPr>
                              <w:i/>
                              <w:noProof/>
                              <w:color w:val="0070C0"/>
                              <w:u w:val="single"/>
                            </w:rPr>
                            <w:t>06a_DZR-Pozadavky_na_zpracovani_realizacni_projektove_dokumentace=DRAFT.docx</w:t>
                          </w:r>
                          <w:r w:rsidRPr="00E8058A">
                            <w:rPr>
                              <w:i/>
                              <w:color w:val="0070C0"/>
                              <w:u w:val="singl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3600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A6D5E6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left:0;text-align:left;margin-left:-13.1pt;margin-top:-24.15pt;width:524.8pt;height:22.15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" filled="f" stroked="f">
              <v:stroke dashstyle="1 1"/>
              <v:textbox inset="0,1mm,0,0">
                <w:txbxContent>
                  <w:p w14:paraId="790CCB50" w14:textId="1AB00768" w:rsidR="00553F84" w:rsidRPr="00E8058A" w:rsidRDefault="00553F84" w:rsidP="000A2783">
                    <w:pPr>
                      <w:pStyle w:val="Zhlav"/>
                      <w:jc w:val="right"/>
                      <w:rPr>
                        <w:i/>
                        <w:color w:val="0070C0"/>
                        <w:u w:val="single"/>
                      </w:rPr>
                    </w:pP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begin"/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instrText xml:space="preserve"> FILENAME </w:instrTex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separate"/>
                    </w:r>
                    <w:r w:rsidR="00AE421E">
                      <w:rPr>
                        <w:i/>
                        <w:noProof/>
                        <w:color w:val="0070C0"/>
                        <w:u w:val="single"/>
                      </w:rPr>
                      <w:t>06a_DZR-Pozadavky_na_zpracovani_realizacni_projektove_dokumentace=DRAFT.docx</w:t>
                    </w:r>
                    <w:r w:rsidRPr="00E8058A">
                      <w:rPr>
                        <w:i/>
                        <w:color w:val="0070C0"/>
                        <w:u w:val="single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5183AD1" wp14:editId="4D952F3A">
              <wp:simplePos x="0" y="0"/>
              <wp:positionH relativeFrom="margin">
                <wp:posOffset>-8255</wp:posOffset>
              </wp:positionH>
              <wp:positionV relativeFrom="paragraph">
                <wp:posOffset>-281940</wp:posOffset>
              </wp:positionV>
              <wp:extent cx="5753100" cy="546100"/>
              <wp:effectExtent l="0" t="0" r="0" b="6350"/>
              <wp:wrapNone/>
              <wp:docPr id="48" name="Obdélník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53100" cy="54610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  <a:alpha val="7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AE0B19F" w14:textId="77777777" w:rsidR="00553F84" w:rsidRPr="00097AA2" w:rsidRDefault="00553F84" w:rsidP="00553F84">
                          <w:pPr>
                            <w:ind w:left="709" w:firstLine="709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00B0F0"/>
                              <w:sz w:val="24"/>
                            </w:rPr>
                            <w:t>Domov se zvláštním režimem Rohatec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180000" rIns="90000" bIns="72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183AD1" id="Obdélník 48" o:spid="_x0000_s1027" style="position:absolute;left:0;text-align:left;margin-left:-.65pt;margin-top:-22.2pt;width:453pt;height:43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" fillcolor="#d8d8d8 [2732]" stroked="f" strokeweight="1pt">
              <v:fill opacity="46003f"/>
              <v:textbox inset=",5mm,2.5mm,2mm">
                <w:txbxContent>
                  <w:p w14:paraId="7AE0B19F" w14:textId="77777777" w:rsidR="00553F84" w:rsidRPr="00097AA2" w:rsidRDefault="00553F84" w:rsidP="00553F84">
                    <w:pPr>
                      <w:ind w:left="709" w:firstLine="70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00B0F0"/>
                        <w:sz w:val="24"/>
                      </w:rPr>
                      <w:t>Domov se zvláštním režimem Rohatec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1" locked="0" layoutInCell="1" allowOverlap="1" wp14:anchorId="6F41B2F6" wp14:editId="467B80FA">
          <wp:simplePos x="0" y="0"/>
          <wp:positionH relativeFrom="margin">
            <wp:posOffset>106045</wp:posOffset>
          </wp:positionH>
          <wp:positionV relativeFrom="paragraph">
            <wp:posOffset>-144780</wp:posOffset>
          </wp:positionV>
          <wp:extent cx="723900" cy="285750"/>
          <wp:effectExtent l="0" t="0" r="0" b="0"/>
          <wp:wrapTight wrapText="bothSides">
            <wp:wrapPolygon edited="0">
              <wp:start x="0" y="0"/>
              <wp:lineTo x="0" y="20160"/>
              <wp:lineTo x="21032" y="20160"/>
              <wp:lineTo x="21032" y="1440"/>
              <wp:lineTo x="15347" y="0"/>
              <wp:lineTo x="0" y="0"/>
            </wp:wrapPolygon>
          </wp:wrapTight>
          <wp:docPr id="501097859" name="Obrázek 501097859" descr="A:\ADG\Loga\Logo Invin\logo_Invin_transparentni pozad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:\ADG\Loga\Logo Invin\logo_Invin_transparentni pozad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1A0CD51" w14:textId="77777777" w:rsidR="00DC0821" w:rsidRDefault="00DC08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21.75pt;height:21.75pt;visibility:visible" o:bullet="t">
        <v:imagedata r:id="rId1" o:title="" cropbottom="-455f" cropright="-455f"/>
      </v:shape>
    </w:pict>
  </w:numPicBullet>
  <w:abstractNum w:abstractNumId="0" w15:restartNumberingAfterBreak="0">
    <w:nsid w:val="039470C4"/>
    <w:multiLevelType w:val="hybridMultilevel"/>
    <w:tmpl w:val="687842A6"/>
    <w:lvl w:ilvl="0" w:tplc="27FA1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5470B1D2">
      <w:start w:val="1"/>
      <w:numFmt w:val="lowerLetter"/>
      <w:pStyle w:val="A-Bsmezerou"/>
      <w:lvlText w:val="%2)"/>
      <w:lvlJc w:val="left"/>
      <w:pPr>
        <w:tabs>
          <w:tab w:val="num" w:pos="1440"/>
        </w:tabs>
        <w:ind w:left="1440" w:hanging="360"/>
      </w:pPr>
      <w:rPr>
        <w:b w:val="0"/>
        <w:color w:val="auto"/>
        <w:sz w:val="22"/>
        <w:szCs w:val="22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/>
      </w:rPr>
    </w:lvl>
    <w:lvl w:ilvl="3" w:tplc="ECBC8484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952B5"/>
    <w:multiLevelType w:val="hybridMultilevel"/>
    <w:tmpl w:val="6B3C41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B7691"/>
    <w:multiLevelType w:val="hybridMultilevel"/>
    <w:tmpl w:val="CBBA1C08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B84B9B"/>
    <w:multiLevelType w:val="hybridMultilevel"/>
    <w:tmpl w:val="7AF0D76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13B35B2E"/>
    <w:multiLevelType w:val="hybridMultilevel"/>
    <w:tmpl w:val="0240A0AE"/>
    <w:lvl w:ilvl="0" w:tplc="D498505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B212F64E">
      <w:start w:val="2"/>
      <w:numFmt w:val="bullet"/>
      <w:lvlText w:val="•"/>
      <w:lvlJc w:val="left"/>
      <w:pPr>
        <w:ind w:left="2501" w:hanging="570"/>
      </w:pPr>
      <w:rPr>
        <w:rFonts w:ascii="Calibri" w:eastAsia="Times New Roman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6271072"/>
    <w:multiLevelType w:val="hybridMultilevel"/>
    <w:tmpl w:val="3274F380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F535A18"/>
    <w:multiLevelType w:val="hybridMultilevel"/>
    <w:tmpl w:val="1A7A0FAC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42B3555"/>
    <w:multiLevelType w:val="hybridMultilevel"/>
    <w:tmpl w:val="7D28077A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271491A"/>
    <w:multiLevelType w:val="hybridMultilevel"/>
    <w:tmpl w:val="7632FBC6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2AA697E"/>
    <w:multiLevelType w:val="multilevel"/>
    <w:tmpl w:val="4B0094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1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36" w:hanging="1800"/>
      </w:pPr>
      <w:rPr>
        <w:rFonts w:hint="default"/>
      </w:rPr>
    </w:lvl>
  </w:abstractNum>
  <w:abstractNum w:abstractNumId="10" w15:restartNumberingAfterBreak="0">
    <w:nsid w:val="37BB355D"/>
    <w:multiLevelType w:val="multilevel"/>
    <w:tmpl w:val="284E944C"/>
    <w:lvl w:ilvl="0">
      <w:start w:val="1"/>
      <w:numFmt w:val="lowerLetter"/>
      <w:lvlText w:val="(%1)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149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360" w:hanging="1800"/>
      </w:pPr>
      <w:rPr>
        <w:rFonts w:hint="default"/>
      </w:rPr>
    </w:lvl>
  </w:abstractNum>
  <w:abstractNum w:abstractNumId="11" w15:restartNumberingAfterBreak="0">
    <w:nsid w:val="52B10B05"/>
    <w:multiLevelType w:val="hybridMultilevel"/>
    <w:tmpl w:val="00BA449C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569906A0"/>
    <w:multiLevelType w:val="multilevel"/>
    <w:tmpl w:val="7D98A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5C226B"/>
    <w:multiLevelType w:val="multilevel"/>
    <w:tmpl w:val="23B88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754531"/>
    <w:multiLevelType w:val="multilevel"/>
    <w:tmpl w:val="2BCCA274"/>
    <w:styleLink w:val="VRV"/>
    <w:lvl w:ilvl="0">
      <w:start w:val="1"/>
      <w:numFmt w:val="bullet"/>
      <w:pStyle w:val="VRVodrky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0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0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0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0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  <w:color w:val="auto"/>
      </w:rPr>
    </w:lvl>
  </w:abstractNum>
  <w:abstractNum w:abstractNumId="15" w15:restartNumberingAfterBreak="0">
    <w:nsid w:val="64402CA1"/>
    <w:multiLevelType w:val="multilevel"/>
    <w:tmpl w:val="2BCCA274"/>
    <w:numStyleLink w:val="VRV"/>
  </w:abstractNum>
  <w:abstractNum w:abstractNumId="16" w15:restartNumberingAfterBreak="0">
    <w:nsid w:val="6C473913"/>
    <w:multiLevelType w:val="hybridMultilevel"/>
    <w:tmpl w:val="75305114"/>
    <w:lvl w:ilvl="0" w:tplc="875660BE">
      <w:numFmt w:val="bullet"/>
      <w:lvlText w:val="•"/>
      <w:lvlJc w:val="left"/>
      <w:pPr>
        <w:ind w:left="1571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72905748"/>
    <w:multiLevelType w:val="hybridMultilevel"/>
    <w:tmpl w:val="B642813E"/>
    <w:lvl w:ilvl="0" w:tplc="9EDE1AA0">
      <w:numFmt w:val="bullet"/>
      <w:lvlText w:val="-"/>
      <w:lvlJc w:val="left"/>
      <w:pPr>
        <w:ind w:left="1931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 w15:restartNumberingAfterBreak="0">
    <w:nsid w:val="75BD33DB"/>
    <w:multiLevelType w:val="hybridMultilevel"/>
    <w:tmpl w:val="1ACC5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ED416F"/>
    <w:multiLevelType w:val="multilevel"/>
    <w:tmpl w:val="2BCCA274"/>
    <w:numStyleLink w:val="VRV"/>
  </w:abstractNum>
  <w:num w:numId="1" w16cid:durableId="882254277">
    <w:abstractNumId w:val="10"/>
  </w:num>
  <w:num w:numId="2" w16cid:durableId="127430829">
    <w:abstractNumId w:val="3"/>
  </w:num>
  <w:num w:numId="3" w16cid:durableId="1729454697">
    <w:abstractNumId w:val="4"/>
  </w:num>
  <w:num w:numId="4" w16cid:durableId="949506407">
    <w:abstractNumId w:val="11"/>
  </w:num>
  <w:num w:numId="5" w16cid:durableId="1543856936">
    <w:abstractNumId w:val="5"/>
  </w:num>
  <w:num w:numId="6" w16cid:durableId="1266113152">
    <w:abstractNumId w:val="2"/>
  </w:num>
  <w:num w:numId="7" w16cid:durableId="1916084745">
    <w:abstractNumId w:val="16"/>
  </w:num>
  <w:num w:numId="8" w16cid:durableId="1850020842">
    <w:abstractNumId w:val="6"/>
  </w:num>
  <w:num w:numId="9" w16cid:durableId="1065759210">
    <w:abstractNumId w:val="8"/>
  </w:num>
  <w:num w:numId="10" w16cid:durableId="1736662299">
    <w:abstractNumId w:val="7"/>
  </w:num>
  <w:num w:numId="11" w16cid:durableId="1428649373">
    <w:abstractNumId w:val="17"/>
  </w:num>
  <w:num w:numId="12" w16cid:durableId="276062223">
    <w:abstractNumId w:val="15"/>
  </w:num>
  <w:num w:numId="13" w16cid:durableId="1189946415">
    <w:abstractNumId w:val="14"/>
  </w:num>
  <w:num w:numId="14" w16cid:durableId="2031833249">
    <w:abstractNumId w:val="19"/>
  </w:num>
  <w:num w:numId="15" w16cid:durableId="1932272548">
    <w:abstractNumId w:val="1"/>
  </w:num>
  <w:num w:numId="16" w16cid:durableId="1319765266">
    <w:abstractNumId w:val="9"/>
  </w:num>
  <w:num w:numId="17" w16cid:durableId="568350798">
    <w:abstractNumId w:val="18"/>
  </w:num>
  <w:num w:numId="18" w16cid:durableId="262960910">
    <w:abstractNumId w:val="9"/>
  </w:num>
  <w:num w:numId="19" w16cid:durableId="1854026959">
    <w:abstractNumId w:val="9"/>
  </w:num>
  <w:num w:numId="20" w16cid:durableId="31417945">
    <w:abstractNumId w:val="9"/>
  </w:num>
  <w:num w:numId="21" w16cid:durableId="632709619">
    <w:abstractNumId w:val="9"/>
  </w:num>
  <w:num w:numId="22" w16cid:durableId="1503814046">
    <w:abstractNumId w:val="9"/>
  </w:num>
  <w:num w:numId="23" w16cid:durableId="21054203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34739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76633234">
    <w:abstractNumId w:val="9"/>
  </w:num>
  <w:num w:numId="26" w16cid:durableId="1482306538">
    <w:abstractNumId w:val="9"/>
  </w:num>
  <w:num w:numId="27" w16cid:durableId="415177212">
    <w:abstractNumId w:val="9"/>
  </w:num>
  <w:num w:numId="28" w16cid:durableId="539783013">
    <w:abstractNumId w:val="0"/>
  </w:num>
  <w:num w:numId="29" w16cid:durableId="1094790036">
    <w:abstractNumId w:val="13"/>
  </w:num>
  <w:num w:numId="30" w16cid:durableId="1941454221">
    <w:abstractNumId w:val="9"/>
  </w:num>
  <w:num w:numId="31" w16cid:durableId="613364137">
    <w:abstractNumId w:val="9"/>
  </w:num>
  <w:num w:numId="32" w16cid:durableId="503478782">
    <w:abstractNumId w:val="9"/>
  </w:num>
  <w:num w:numId="33" w16cid:durableId="1280605776">
    <w:abstractNumId w:val="9"/>
  </w:num>
  <w:num w:numId="34" w16cid:durableId="1049303530">
    <w:abstractNumId w:val="9"/>
  </w:num>
  <w:num w:numId="35" w16cid:durableId="1503473998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6"/>
    <w:rsid w:val="00001044"/>
    <w:rsid w:val="0000138C"/>
    <w:rsid w:val="000036C2"/>
    <w:rsid w:val="000042C6"/>
    <w:rsid w:val="000052A5"/>
    <w:rsid w:val="00006201"/>
    <w:rsid w:val="00007BA6"/>
    <w:rsid w:val="00011F2E"/>
    <w:rsid w:val="000133B5"/>
    <w:rsid w:val="00013892"/>
    <w:rsid w:val="00023DFA"/>
    <w:rsid w:val="0002766C"/>
    <w:rsid w:val="0003248E"/>
    <w:rsid w:val="000339F1"/>
    <w:rsid w:val="00035E71"/>
    <w:rsid w:val="0004034A"/>
    <w:rsid w:val="00043C70"/>
    <w:rsid w:val="00061EF1"/>
    <w:rsid w:val="0006215D"/>
    <w:rsid w:val="0006278B"/>
    <w:rsid w:val="000663A0"/>
    <w:rsid w:val="0007251A"/>
    <w:rsid w:val="00084D4C"/>
    <w:rsid w:val="00095FD0"/>
    <w:rsid w:val="00097AA2"/>
    <w:rsid w:val="000A2783"/>
    <w:rsid w:val="000A6E86"/>
    <w:rsid w:val="000B1C5B"/>
    <w:rsid w:val="000B671A"/>
    <w:rsid w:val="000C4ACD"/>
    <w:rsid w:val="000E0321"/>
    <w:rsid w:val="000E5CCA"/>
    <w:rsid w:val="00107311"/>
    <w:rsid w:val="00112A4D"/>
    <w:rsid w:val="001169B5"/>
    <w:rsid w:val="001254A4"/>
    <w:rsid w:val="001337BC"/>
    <w:rsid w:val="001349E8"/>
    <w:rsid w:val="001352FD"/>
    <w:rsid w:val="0014298A"/>
    <w:rsid w:val="00147D1B"/>
    <w:rsid w:val="0015166A"/>
    <w:rsid w:val="001557E8"/>
    <w:rsid w:val="00155F2A"/>
    <w:rsid w:val="00160649"/>
    <w:rsid w:val="0016671E"/>
    <w:rsid w:val="00173E79"/>
    <w:rsid w:val="00176E18"/>
    <w:rsid w:val="00182147"/>
    <w:rsid w:val="0018380B"/>
    <w:rsid w:val="00195797"/>
    <w:rsid w:val="00195B47"/>
    <w:rsid w:val="00195DE2"/>
    <w:rsid w:val="001A319F"/>
    <w:rsid w:val="001B071E"/>
    <w:rsid w:val="001C1A41"/>
    <w:rsid w:val="001C5DE4"/>
    <w:rsid w:val="001D099B"/>
    <w:rsid w:val="001D245D"/>
    <w:rsid w:val="001D4E9D"/>
    <w:rsid w:val="001E3D91"/>
    <w:rsid w:val="001F292A"/>
    <w:rsid w:val="001F306A"/>
    <w:rsid w:val="00215C8A"/>
    <w:rsid w:val="002178EB"/>
    <w:rsid w:val="00230D03"/>
    <w:rsid w:val="0023180F"/>
    <w:rsid w:val="00235B7E"/>
    <w:rsid w:val="0024329F"/>
    <w:rsid w:val="0025307F"/>
    <w:rsid w:val="00263BC5"/>
    <w:rsid w:val="002655C4"/>
    <w:rsid w:val="00265681"/>
    <w:rsid w:val="0027350C"/>
    <w:rsid w:val="00277785"/>
    <w:rsid w:val="002801D3"/>
    <w:rsid w:val="002806B6"/>
    <w:rsid w:val="0028260A"/>
    <w:rsid w:val="002876B0"/>
    <w:rsid w:val="00295568"/>
    <w:rsid w:val="00295995"/>
    <w:rsid w:val="002A11F5"/>
    <w:rsid w:val="002A15BA"/>
    <w:rsid w:val="002B22C3"/>
    <w:rsid w:val="002C6011"/>
    <w:rsid w:val="002C64A8"/>
    <w:rsid w:val="002C6AE6"/>
    <w:rsid w:val="002C6C5B"/>
    <w:rsid w:val="002D0956"/>
    <w:rsid w:val="002D66E8"/>
    <w:rsid w:val="002E234D"/>
    <w:rsid w:val="002F1F87"/>
    <w:rsid w:val="002F2222"/>
    <w:rsid w:val="002F240B"/>
    <w:rsid w:val="002F2BAA"/>
    <w:rsid w:val="002F7B0F"/>
    <w:rsid w:val="003118B2"/>
    <w:rsid w:val="00311FF7"/>
    <w:rsid w:val="003130AE"/>
    <w:rsid w:val="00314294"/>
    <w:rsid w:val="00315DBC"/>
    <w:rsid w:val="00327B64"/>
    <w:rsid w:val="00332425"/>
    <w:rsid w:val="00342245"/>
    <w:rsid w:val="00357157"/>
    <w:rsid w:val="0036509D"/>
    <w:rsid w:val="0036523C"/>
    <w:rsid w:val="003662B3"/>
    <w:rsid w:val="003741D7"/>
    <w:rsid w:val="00377B1C"/>
    <w:rsid w:val="00387925"/>
    <w:rsid w:val="00395784"/>
    <w:rsid w:val="00397111"/>
    <w:rsid w:val="003A0503"/>
    <w:rsid w:val="003A2573"/>
    <w:rsid w:val="003C43B5"/>
    <w:rsid w:val="003D1C45"/>
    <w:rsid w:val="003D30A3"/>
    <w:rsid w:val="003D3205"/>
    <w:rsid w:val="003D4197"/>
    <w:rsid w:val="003D70D1"/>
    <w:rsid w:val="003E203A"/>
    <w:rsid w:val="003E62BC"/>
    <w:rsid w:val="003F17FC"/>
    <w:rsid w:val="003F641D"/>
    <w:rsid w:val="00406CDD"/>
    <w:rsid w:val="00407AE0"/>
    <w:rsid w:val="00415814"/>
    <w:rsid w:val="00424013"/>
    <w:rsid w:val="00430467"/>
    <w:rsid w:val="00436F72"/>
    <w:rsid w:val="00443261"/>
    <w:rsid w:val="00444B6C"/>
    <w:rsid w:val="004508BE"/>
    <w:rsid w:val="00451059"/>
    <w:rsid w:val="00452FA0"/>
    <w:rsid w:val="00463C7A"/>
    <w:rsid w:val="00481C0D"/>
    <w:rsid w:val="00481DA3"/>
    <w:rsid w:val="00490CBF"/>
    <w:rsid w:val="004A1526"/>
    <w:rsid w:val="004A5E7A"/>
    <w:rsid w:val="004B2502"/>
    <w:rsid w:val="004B4C90"/>
    <w:rsid w:val="004C15CC"/>
    <w:rsid w:val="004C1832"/>
    <w:rsid w:val="004C624F"/>
    <w:rsid w:val="004D24FF"/>
    <w:rsid w:val="004D56C3"/>
    <w:rsid w:val="004E3F51"/>
    <w:rsid w:val="004F6C16"/>
    <w:rsid w:val="004F768D"/>
    <w:rsid w:val="005025BA"/>
    <w:rsid w:val="00504E73"/>
    <w:rsid w:val="00514952"/>
    <w:rsid w:val="00514B18"/>
    <w:rsid w:val="005155AF"/>
    <w:rsid w:val="005219E8"/>
    <w:rsid w:val="005236E6"/>
    <w:rsid w:val="00534E88"/>
    <w:rsid w:val="005356BE"/>
    <w:rsid w:val="005360A1"/>
    <w:rsid w:val="005416A3"/>
    <w:rsid w:val="005462B7"/>
    <w:rsid w:val="0054730A"/>
    <w:rsid w:val="00550D7C"/>
    <w:rsid w:val="00551D03"/>
    <w:rsid w:val="00553F84"/>
    <w:rsid w:val="00561D14"/>
    <w:rsid w:val="00563A03"/>
    <w:rsid w:val="00565F63"/>
    <w:rsid w:val="00570080"/>
    <w:rsid w:val="005768D2"/>
    <w:rsid w:val="00581749"/>
    <w:rsid w:val="00581CDC"/>
    <w:rsid w:val="00595FCB"/>
    <w:rsid w:val="00596E42"/>
    <w:rsid w:val="005B2A06"/>
    <w:rsid w:val="005B2DAD"/>
    <w:rsid w:val="005C06D5"/>
    <w:rsid w:val="005C13A0"/>
    <w:rsid w:val="005D59D9"/>
    <w:rsid w:val="005E59BB"/>
    <w:rsid w:val="005E7574"/>
    <w:rsid w:val="005E7858"/>
    <w:rsid w:val="005F7536"/>
    <w:rsid w:val="00601930"/>
    <w:rsid w:val="006031AC"/>
    <w:rsid w:val="0061405A"/>
    <w:rsid w:val="00614B97"/>
    <w:rsid w:val="00617F57"/>
    <w:rsid w:val="00620056"/>
    <w:rsid w:val="00622310"/>
    <w:rsid w:val="006229D9"/>
    <w:rsid w:val="006261B2"/>
    <w:rsid w:val="00633B84"/>
    <w:rsid w:val="00634AAC"/>
    <w:rsid w:val="0063795E"/>
    <w:rsid w:val="006544A1"/>
    <w:rsid w:val="00661C42"/>
    <w:rsid w:val="0066439A"/>
    <w:rsid w:val="00664684"/>
    <w:rsid w:val="00676ED4"/>
    <w:rsid w:val="0068329B"/>
    <w:rsid w:val="006925B5"/>
    <w:rsid w:val="00693F04"/>
    <w:rsid w:val="006A2BD2"/>
    <w:rsid w:val="006A75DF"/>
    <w:rsid w:val="006B4F47"/>
    <w:rsid w:val="006B75CD"/>
    <w:rsid w:val="006C6C0D"/>
    <w:rsid w:val="006D04CA"/>
    <w:rsid w:val="006E0146"/>
    <w:rsid w:val="006E120C"/>
    <w:rsid w:val="006F7590"/>
    <w:rsid w:val="00722CB7"/>
    <w:rsid w:val="007325CD"/>
    <w:rsid w:val="007359D2"/>
    <w:rsid w:val="00743FB3"/>
    <w:rsid w:val="0075123C"/>
    <w:rsid w:val="00752464"/>
    <w:rsid w:val="00761B97"/>
    <w:rsid w:val="00765BDB"/>
    <w:rsid w:val="00766FB9"/>
    <w:rsid w:val="00770B17"/>
    <w:rsid w:val="007800D8"/>
    <w:rsid w:val="00782D64"/>
    <w:rsid w:val="00783DFC"/>
    <w:rsid w:val="007B2775"/>
    <w:rsid w:val="007C23C4"/>
    <w:rsid w:val="007C4F64"/>
    <w:rsid w:val="007C5CFC"/>
    <w:rsid w:val="007D7D9C"/>
    <w:rsid w:val="007E3872"/>
    <w:rsid w:val="007E3EBA"/>
    <w:rsid w:val="007E6174"/>
    <w:rsid w:val="007E7867"/>
    <w:rsid w:val="00802069"/>
    <w:rsid w:val="008148C0"/>
    <w:rsid w:val="008256F7"/>
    <w:rsid w:val="00830139"/>
    <w:rsid w:val="0083468D"/>
    <w:rsid w:val="00853765"/>
    <w:rsid w:val="00857852"/>
    <w:rsid w:val="00873DE1"/>
    <w:rsid w:val="00876721"/>
    <w:rsid w:val="00881053"/>
    <w:rsid w:val="0088427C"/>
    <w:rsid w:val="00887782"/>
    <w:rsid w:val="008963BC"/>
    <w:rsid w:val="008A3E6E"/>
    <w:rsid w:val="008A550D"/>
    <w:rsid w:val="008A5685"/>
    <w:rsid w:val="008A5900"/>
    <w:rsid w:val="008A67E5"/>
    <w:rsid w:val="008A7C6A"/>
    <w:rsid w:val="008B178C"/>
    <w:rsid w:val="008B5FBD"/>
    <w:rsid w:val="008B6A07"/>
    <w:rsid w:val="008B6D05"/>
    <w:rsid w:val="008D73F4"/>
    <w:rsid w:val="008E06DE"/>
    <w:rsid w:val="008E409A"/>
    <w:rsid w:val="008E48F4"/>
    <w:rsid w:val="008E7D64"/>
    <w:rsid w:val="008F3BCB"/>
    <w:rsid w:val="008F6B19"/>
    <w:rsid w:val="0090075F"/>
    <w:rsid w:val="0091327A"/>
    <w:rsid w:val="00915117"/>
    <w:rsid w:val="00917CC7"/>
    <w:rsid w:val="009206DB"/>
    <w:rsid w:val="00924DE4"/>
    <w:rsid w:val="009318E9"/>
    <w:rsid w:val="00941D0A"/>
    <w:rsid w:val="009446C2"/>
    <w:rsid w:val="00951579"/>
    <w:rsid w:val="009563A2"/>
    <w:rsid w:val="009608AC"/>
    <w:rsid w:val="00962784"/>
    <w:rsid w:val="00962D0E"/>
    <w:rsid w:val="009759F8"/>
    <w:rsid w:val="009848D1"/>
    <w:rsid w:val="00987286"/>
    <w:rsid w:val="0099386B"/>
    <w:rsid w:val="00994660"/>
    <w:rsid w:val="009965D2"/>
    <w:rsid w:val="009A57BD"/>
    <w:rsid w:val="009B0226"/>
    <w:rsid w:val="009B19B5"/>
    <w:rsid w:val="009B3369"/>
    <w:rsid w:val="009B433B"/>
    <w:rsid w:val="009B5A99"/>
    <w:rsid w:val="009C6C11"/>
    <w:rsid w:val="009D2A95"/>
    <w:rsid w:val="009D6ED3"/>
    <w:rsid w:val="009E1321"/>
    <w:rsid w:val="009E7AA1"/>
    <w:rsid w:val="009F5E93"/>
    <w:rsid w:val="00A05761"/>
    <w:rsid w:val="00A176A9"/>
    <w:rsid w:val="00A2086D"/>
    <w:rsid w:val="00A22760"/>
    <w:rsid w:val="00A235C7"/>
    <w:rsid w:val="00A34C5C"/>
    <w:rsid w:val="00A506D9"/>
    <w:rsid w:val="00A67909"/>
    <w:rsid w:val="00A7616E"/>
    <w:rsid w:val="00A76535"/>
    <w:rsid w:val="00A84BA9"/>
    <w:rsid w:val="00A86A2E"/>
    <w:rsid w:val="00A9085C"/>
    <w:rsid w:val="00A94F0C"/>
    <w:rsid w:val="00AA4580"/>
    <w:rsid w:val="00AB1BCF"/>
    <w:rsid w:val="00AC4C5D"/>
    <w:rsid w:val="00AC4C61"/>
    <w:rsid w:val="00AC55FF"/>
    <w:rsid w:val="00AC625E"/>
    <w:rsid w:val="00AD6817"/>
    <w:rsid w:val="00AE421E"/>
    <w:rsid w:val="00AF2723"/>
    <w:rsid w:val="00B00CEF"/>
    <w:rsid w:val="00B034DE"/>
    <w:rsid w:val="00B136A5"/>
    <w:rsid w:val="00B13FAE"/>
    <w:rsid w:val="00B2423A"/>
    <w:rsid w:val="00B34FE6"/>
    <w:rsid w:val="00B40646"/>
    <w:rsid w:val="00B65B80"/>
    <w:rsid w:val="00B67B08"/>
    <w:rsid w:val="00B67B32"/>
    <w:rsid w:val="00B71665"/>
    <w:rsid w:val="00B7213A"/>
    <w:rsid w:val="00B82371"/>
    <w:rsid w:val="00B856F8"/>
    <w:rsid w:val="00B86A49"/>
    <w:rsid w:val="00B90C96"/>
    <w:rsid w:val="00B94A6E"/>
    <w:rsid w:val="00BA0992"/>
    <w:rsid w:val="00BA0C38"/>
    <w:rsid w:val="00BB175E"/>
    <w:rsid w:val="00BB2E91"/>
    <w:rsid w:val="00BB38BA"/>
    <w:rsid w:val="00BB52DE"/>
    <w:rsid w:val="00BB71F7"/>
    <w:rsid w:val="00BC54F0"/>
    <w:rsid w:val="00BC7109"/>
    <w:rsid w:val="00BD01B5"/>
    <w:rsid w:val="00BD077B"/>
    <w:rsid w:val="00BD0A24"/>
    <w:rsid w:val="00BD36C2"/>
    <w:rsid w:val="00BD66A7"/>
    <w:rsid w:val="00BD7310"/>
    <w:rsid w:val="00BE1531"/>
    <w:rsid w:val="00BE2F4E"/>
    <w:rsid w:val="00BE46A3"/>
    <w:rsid w:val="00BE4FF1"/>
    <w:rsid w:val="00BE71F2"/>
    <w:rsid w:val="00BF395A"/>
    <w:rsid w:val="00BF57B6"/>
    <w:rsid w:val="00BF7B61"/>
    <w:rsid w:val="00C007F8"/>
    <w:rsid w:val="00C01731"/>
    <w:rsid w:val="00C05AA7"/>
    <w:rsid w:val="00C065C8"/>
    <w:rsid w:val="00C07B94"/>
    <w:rsid w:val="00C1035B"/>
    <w:rsid w:val="00C16AA1"/>
    <w:rsid w:val="00C219EF"/>
    <w:rsid w:val="00C26431"/>
    <w:rsid w:val="00C2756C"/>
    <w:rsid w:val="00C44768"/>
    <w:rsid w:val="00C52A0F"/>
    <w:rsid w:val="00C53E8C"/>
    <w:rsid w:val="00C554DC"/>
    <w:rsid w:val="00C62797"/>
    <w:rsid w:val="00C62BE6"/>
    <w:rsid w:val="00C641F3"/>
    <w:rsid w:val="00C66F9A"/>
    <w:rsid w:val="00C6752D"/>
    <w:rsid w:val="00C7197A"/>
    <w:rsid w:val="00C77E37"/>
    <w:rsid w:val="00C8023C"/>
    <w:rsid w:val="00C83DB3"/>
    <w:rsid w:val="00C9353B"/>
    <w:rsid w:val="00C958F5"/>
    <w:rsid w:val="00CA205E"/>
    <w:rsid w:val="00CA3648"/>
    <w:rsid w:val="00CC3C5E"/>
    <w:rsid w:val="00CC4B85"/>
    <w:rsid w:val="00CC6B1C"/>
    <w:rsid w:val="00CC6C6E"/>
    <w:rsid w:val="00CE16C6"/>
    <w:rsid w:val="00CF02D7"/>
    <w:rsid w:val="00CF1425"/>
    <w:rsid w:val="00CF6822"/>
    <w:rsid w:val="00D04D6E"/>
    <w:rsid w:val="00D05D5C"/>
    <w:rsid w:val="00D102B9"/>
    <w:rsid w:val="00D1195B"/>
    <w:rsid w:val="00D11DCB"/>
    <w:rsid w:val="00D15AE0"/>
    <w:rsid w:val="00D222BA"/>
    <w:rsid w:val="00D26AA2"/>
    <w:rsid w:val="00D27A5C"/>
    <w:rsid w:val="00D36C95"/>
    <w:rsid w:val="00D36E24"/>
    <w:rsid w:val="00D43912"/>
    <w:rsid w:val="00D4689B"/>
    <w:rsid w:val="00D47C55"/>
    <w:rsid w:val="00D531AF"/>
    <w:rsid w:val="00D57965"/>
    <w:rsid w:val="00D579F9"/>
    <w:rsid w:val="00D57E94"/>
    <w:rsid w:val="00D66AE6"/>
    <w:rsid w:val="00D72DC7"/>
    <w:rsid w:val="00DA58C6"/>
    <w:rsid w:val="00DA5DA8"/>
    <w:rsid w:val="00DB08B6"/>
    <w:rsid w:val="00DB595C"/>
    <w:rsid w:val="00DC0821"/>
    <w:rsid w:val="00DC3E12"/>
    <w:rsid w:val="00DC66BD"/>
    <w:rsid w:val="00DD37C1"/>
    <w:rsid w:val="00DD543B"/>
    <w:rsid w:val="00DD6051"/>
    <w:rsid w:val="00DE5DB7"/>
    <w:rsid w:val="00DE744D"/>
    <w:rsid w:val="00DF4296"/>
    <w:rsid w:val="00DF4534"/>
    <w:rsid w:val="00DF5B62"/>
    <w:rsid w:val="00E06EED"/>
    <w:rsid w:val="00E12960"/>
    <w:rsid w:val="00E12D47"/>
    <w:rsid w:val="00E2530D"/>
    <w:rsid w:val="00E25FC4"/>
    <w:rsid w:val="00E309B0"/>
    <w:rsid w:val="00E376AA"/>
    <w:rsid w:val="00E40C69"/>
    <w:rsid w:val="00E442AA"/>
    <w:rsid w:val="00E44FBF"/>
    <w:rsid w:val="00E4521F"/>
    <w:rsid w:val="00E61B48"/>
    <w:rsid w:val="00E70D69"/>
    <w:rsid w:val="00E70E0D"/>
    <w:rsid w:val="00E75422"/>
    <w:rsid w:val="00E76257"/>
    <w:rsid w:val="00E77D13"/>
    <w:rsid w:val="00E77EFC"/>
    <w:rsid w:val="00E80778"/>
    <w:rsid w:val="00E85AE4"/>
    <w:rsid w:val="00E85B4B"/>
    <w:rsid w:val="00E90984"/>
    <w:rsid w:val="00E95036"/>
    <w:rsid w:val="00E95E5C"/>
    <w:rsid w:val="00E963E3"/>
    <w:rsid w:val="00E97104"/>
    <w:rsid w:val="00EA23D5"/>
    <w:rsid w:val="00EA2416"/>
    <w:rsid w:val="00EA2BA5"/>
    <w:rsid w:val="00EA4034"/>
    <w:rsid w:val="00EB5EE7"/>
    <w:rsid w:val="00EC0C33"/>
    <w:rsid w:val="00EC19AC"/>
    <w:rsid w:val="00EC4D2C"/>
    <w:rsid w:val="00ED02BE"/>
    <w:rsid w:val="00ED4544"/>
    <w:rsid w:val="00EE6ECA"/>
    <w:rsid w:val="00EF2CA2"/>
    <w:rsid w:val="00EF2DAE"/>
    <w:rsid w:val="00EF3EB6"/>
    <w:rsid w:val="00EF63C8"/>
    <w:rsid w:val="00EF77FE"/>
    <w:rsid w:val="00F0037F"/>
    <w:rsid w:val="00F0159A"/>
    <w:rsid w:val="00F10790"/>
    <w:rsid w:val="00F16420"/>
    <w:rsid w:val="00F167E1"/>
    <w:rsid w:val="00F17E54"/>
    <w:rsid w:val="00F22EA6"/>
    <w:rsid w:val="00F23771"/>
    <w:rsid w:val="00F23BEE"/>
    <w:rsid w:val="00F2740C"/>
    <w:rsid w:val="00F31830"/>
    <w:rsid w:val="00F33397"/>
    <w:rsid w:val="00F36285"/>
    <w:rsid w:val="00F36392"/>
    <w:rsid w:val="00F3793A"/>
    <w:rsid w:val="00F41061"/>
    <w:rsid w:val="00F437CA"/>
    <w:rsid w:val="00F50D4C"/>
    <w:rsid w:val="00F87DBF"/>
    <w:rsid w:val="00F9111E"/>
    <w:rsid w:val="00F9615C"/>
    <w:rsid w:val="00F96745"/>
    <w:rsid w:val="00F9685D"/>
    <w:rsid w:val="00FA332A"/>
    <w:rsid w:val="00FA3398"/>
    <w:rsid w:val="00FB11B3"/>
    <w:rsid w:val="00FB519F"/>
    <w:rsid w:val="00FC42E9"/>
    <w:rsid w:val="00FC45CA"/>
    <w:rsid w:val="00FC509A"/>
    <w:rsid w:val="00FD5B8A"/>
    <w:rsid w:val="00FE0D7C"/>
    <w:rsid w:val="00FE3066"/>
    <w:rsid w:val="00FF3A62"/>
    <w:rsid w:val="00FF52D7"/>
    <w:rsid w:val="53B02B29"/>
    <w:rsid w:val="59779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5C898"/>
  <w15:chartTrackingRefBased/>
  <w15:docId w15:val="{60D7070F-A669-4C4D-98C7-1C73B536E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6E86"/>
    <w:pPr>
      <w:spacing w:after="0" w:line="264" w:lineRule="auto"/>
      <w:ind w:left="851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A6E86"/>
    <w:pPr>
      <w:keepNext/>
      <w:spacing w:before="240" w:after="60"/>
      <w:ind w:left="0"/>
      <w:outlineLvl w:val="0"/>
    </w:pPr>
    <w:rPr>
      <w:rFonts w:cs="Arial"/>
      <w:b/>
      <w:bCs/>
      <w:i/>
      <w:kern w:val="32"/>
      <w:sz w:val="24"/>
      <w:szCs w:val="32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adpis1"/>
    <w:next w:val="Normln"/>
    <w:link w:val="Nadpis2Char"/>
    <w:autoRedefine/>
    <w:unhideWhenUsed/>
    <w:qFormat/>
    <w:rsid w:val="002F1F87"/>
    <w:pPr>
      <w:keepNext w:val="0"/>
      <w:numPr>
        <w:ilvl w:val="1"/>
        <w:numId w:val="16"/>
      </w:numPr>
      <w:spacing w:before="0" w:after="120" w:line="276" w:lineRule="auto"/>
      <w:outlineLvl w:val="1"/>
    </w:pPr>
    <w:rPr>
      <w:rFonts w:eastAsiaTheme="majorEastAsia" w:cstheme="majorBidi"/>
      <w:i w:val="0"/>
      <w:iCs/>
      <w:caps/>
      <w:kern w:val="0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B4064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40646"/>
  </w:style>
  <w:style w:type="paragraph" w:styleId="Zpat">
    <w:name w:val="footer"/>
    <w:basedOn w:val="Normln"/>
    <w:link w:val="ZpatChar"/>
    <w:uiPriority w:val="99"/>
    <w:unhideWhenUsed/>
    <w:rsid w:val="00B4064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646"/>
  </w:style>
  <w:style w:type="character" w:styleId="Hypertextovodkaz">
    <w:name w:val="Hyperlink"/>
    <w:basedOn w:val="Standardnpsmoodstavce"/>
    <w:uiPriority w:val="99"/>
    <w:unhideWhenUsed/>
    <w:rsid w:val="00CC6C6E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0A6E86"/>
    <w:rPr>
      <w:rFonts w:eastAsia="Times New Roman" w:cs="Arial"/>
      <w:b/>
      <w:bCs/>
      <w:i/>
      <w:kern w:val="32"/>
      <w:sz w:val="24"/>
      <w:szCs w:val="32"/>
      <w:lang w:eastAsia="cs-CZ"/>
    </w:rPr>
  </w:style>
  <w:style w:type="paragraph" w:styleId="Zkladntext">
    <w:name w:val="Body Text"/>
    <w:aliases w:val="termo"/>
    <w:basedOn w:val="Normln"/>
    <w:link w:val="ZkladntextChar"/>
    <w:rsid w:val="00D26AA2"/>
    <w:rPr>
      <w:rFonts w:ascii="Erie" w:hAnsi="Erie"/>
      <w:color w:val="000000"/>
      <w:sz w:val="24"/>
      <w:szCs w:val="20"/>
      <w:lang w:val="x-none" w:eastAsia="x-none"/>
    </w:rPr>
  </w:style>
  <w:style w:type="character" w:customStyle="1" w:styleId="ZkladntextChar">
    <w:name w:val="Základní text Char"/>
    <w:aliases w:val="termo Char"/>
    <w:basedOn w:val="Standardnpsmoodstavce"/>
    <w:link w:val="Zkladntext"/>
    <w:rsid w:val="00D26AA2"/>
    <w:rPr>
      <w:rFonts w:ascii="Erie" w:eastAsia="Times New Roman" w:hAnsi="Erie" w:cs="Times New Roman"/>
      <w:color w:val="000000"/>
      <w:sz w:val="24"/>
      <w:szCs w:val="20"/>
      <w:lang w:val="x-none" w:eastAsia="x-none"/>
    </w:rPr>
  </w:style>
  <w:style w:type="paragraph" w:styleId="Zkladntextodsazen3">
    <w:name w:val="Body Text Indent 3"/>
    <w:basedOn w:val="Normln"/>
    <w:link w:val="Zkladntextodsazen3Char"/>
    <w:rsid w:val="00D26AA2"/>
    <w:pPr>
      <w:tabs>
        <w:tab w:val="left" w:pos="426"/>
      </w:tabs>
      <w:ind w:left="420" w:hanging="420"/>
    </w:pPr>
    <w:rPr>
      <w:b/>
      <w:szCs w:val="20"/>
      <w:lang w:val="x-none" w:eastAsia="x-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D26AA2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Bezmezer">
    <w:name w:val="No Spacing"/>
    <w:uiPriority w:val="1"/>
    <w:qFormat/>
    <w:rsid w:val="00BA0C38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44768"/>
    <w:rPr>
      <w:b/>
      <w:bCs/>
    </w:rPr>
  </w:style>
  <w:style w:type="character" w:customStyle="1" w:styleId="apple-converted-space">
    <w:name w:val="apple-converted-space"/>
    <w:basedOn w:val="Standardnpsmoodstavce"/>
    <w:rsid w:val="00C44768"/>
  </w:style>
  <w:style w:type="paragraph" w:styleId="Odstavecseseznamem">
    <w:name w:val="List Paragraph"/>
    <w:aliases w:val="Základní styl odstavce"/>
    <w:basedOn w:val="Normln"/>
    <w:link w:val="OdstavecseseznamemChar"/>
    <w:uiPriority w:val="34"/>
    <w:qFormat/>
    <w:rsid w:val="0028260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826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60A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"/>
    <w:basedOn w:val="Standardnpsmoodstavce"/>
    <w:link w:val="Nadpis2"/>
    <w:rsid w:val="002F1F87"/>
    <w:rPr>
      <w:rFonts w:eastAsiaTheme="majorEastAsia" w:cstheme="majorBidi"/>
      <w:b/>
      <w:bCs/>
      <w:iCs/>
      <w:caps/>
      <w:sz w:val="24"/>
      <w:szCs w:val="26"/>
    </w:rPr>
  </w:style>
  <w:style w:type="table" w:styleId="Mkatabulky">
    <w:name w:val="Table Grid"/>
    <w:aliases w:val="Obrazek"/>
    <w:basedOn w:val="Normlntabulka"/>
    <w:rsid w:val="00A2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D66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66A7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66A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66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66A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6B4F47"/>
    <w:pPr>
      <w:spacing w:after="200"/>
    </w:pPr>
    <w:rPr>
      <w:i/>
      <w:iCs/>
      <w:color w:val="44546A" w:themeColor="text2"/>
      <w:sz w:val="18"/>
      <w:szCs w:val="18"/>
    </w:rPr>
  </w:style>
  <w:style w:type="paragraph" w:styleId="Revize">
    <w:name w:val="Revision"/>
    <w:hidden/>
    <w:uiPriority w:val="99"/>
    <w:semiHidden/>
    <w:rsid w:val="002A11F5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0B671A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i w:val="0"/>
      <w:color w:val="2E74B5" w:themeColor="accent1" w:themeShade="BF"/>
      <w:kern w:val="0"/>
      <w:sz w:val="32"/>
    </w:rPr>
  </w:style>
  <w:style w:type="paragraph" w:styleId="Obsah1">
    <w:name w:val="toc 1"/>
    <w:basedOn w:val="Normln"/>
    <w:next w:val="Normln"/>
    <w:autoRedefine/>
    <w:uiPriority w:val="39"/>
    <w:unhideWhenUsed/>
    <w:rsid w:val="00BD01B5"/>
    <w:pPr>
      <w:tabs>
        <w:tab w:val="left" w:pos="440"/>
        <w:tab w:val="right" w:leader="dot" w:pos="10456"/>
      </w:tabs>
      <w:spacing w:line="240" w:lineRule="auto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0B671A"/>
    <w:pPr>
      <w:tabs>
        <w:tab w:val="left" w:pos="880"/>
        <w:tab w:val="right" w:leader="dot" w:pos="10456"/>
      </w:tabs>
      <w:spacing w:line="240" w:lineRule="auto"/>
      <w:ind w:left="221"/>
    </w:pPr>
  </w:style>
  <w:style w:type="paragraph" w:customStyle="1" w:styleId="VRVodrky">
    <w:name w:val="VRV odrážky"/>
    <w:basedOn w:val="Odstavecseseznamem"/>
    <w:uiPriority w:val="1"/>
    <w:qFormat/>
    <w:rsid w:val="00C52A0F"/>
    <w:pPr>
      <w:numPr>
        <w:numId w:val="14"/>
      </w:numPr>
      <w:spacing w:before="160" w:line="240" w:lineRule="auto"/>
    </w:pPr>
    <w:rPr>
      <w:rFonts w:ascii="Times New Roman" w:eastAsiaTheme="majorEastAsia" w:hAnsi="Times New Roman" w:cs="Open Sans"/>
      <w:sz w:val="24"/>
      <w:szCs w:val="22"/>
      <w:lang w:eastAsia="ja-JP"/>
    </w:rPr>
  </w:style>
  <w:style w:type="numbering" w:customStyle="1" w:styleId="VRV">
    <w:name w:val="VRV"/>
    <w:uiPriority w:val="99"/>
    <w:rsid w:val="00C52A0F"/>
    <w:pPr>
      <w:numPr>
        <w:numId w:val="13"/>
      </w:numPr>
    </w:pPr>
  </w:style>
  <w:style w:type="paragraph" w:customStyle="1" w:styleId="A-Bsmezerou">
    <w:name w:val="A-B s mezerou"/>
    <w:basedOn w:val="Normln"/>
    <w:next w:val="Normln"/>
    <w:link w:val="A-BsmezerouChar"/>
    <w:rsid w:val="005360A1"/>
    <w:pPr>
      <w:numPr>
        <w:ilvl w:val="1"/>
        <w:numId w:val="28"/>
      </w:numPr>
      <w:spacing w:after="120" w:line="240" w:lineRule="auto"/>
      <w:jc w:val="both"/>
    </w:pPr>
    <w:rPr>
      <w:rFonts w:ascii="Arial" w:hAnsi="Arial"/>
      <w:szCs w:val="22"/>
      <w:lang w:val="x-none" w:eastAsia="x-none"/>
    </w:rPr>
  </w:style>
  <w:style w:type="character" w:customStyle="1" w:styleId="A-BsmezerouChar">
    <w:name w:val="A-B s mezerou Char"/>
    <w:link w:val="A-Bsmezerou"/>
    <w:rsid w:val="005360A1"/>
    <w:rPr>
      <w:rFonts w:ascii="Arial" w:eastAsia="Times New Roman" w:hAnsi="Arial" w:cs="Times New Roman"/>
      <w:lang w:val="x-none" w:eastAsia="x-none"/>
    </w:rPr>
  </w:style>
  <w:style w:type="character" w:customStyle="1" w:styleId="OdstavecseseznamemChar">
    <w:name w:val="Odstavec se seznamem Char"/>
    <w:aliases w:val="Základní styl odstavce Char"/>
    <w:link w:val="Odstavecseseznamem"/>
    <w:uiPriority w:val="34"/>
    <w:rsid w:val="00ED02BE"/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7F9CBD517D82478C04156C2128DDAB" ma:contentTypeVersion="13" ma:contentTypeDescription="Vytvoří nový dokument" ma:contentTypeScope="" ma:versionID="727dc54930a347da8824c15a7416add7">
  <xsd:schema xmlns:xsd="http://www.w3.org/2001/XMLSchema" xmlns:xs="http://www.w3.org/2001/XMLSchema" xmlns:p="http://schemas.microsoft.com/office/2006/metadata/properties" xmlns:ns2="3c3db478-5397-4d9d-b8f4-aeb2c9f9ebf8" xmlns:ns3="8b7d2623-97ce-4d3d-b38b-e619fa1cf8e4" targetNamespace="http://schemas.microsoft.com/office/2006/metadata/properties" ma:root="true" ma:fieldsID="0a4e59f526b80745ce3cbdabaca9bcf6" ns2:_="" ns3:_="">
    <xsd:import namespace="3c3db478-5397-4d9d-b8f4-aeb2c9f9ebf8"/>
    <xsd:import namespace="8b7d2623-97ce-4d3d-b38b-e619fa1cf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b478-5397-4d9d-b8f4-aeb2c9f9e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d2623-97ce-4d3d-b38b-e619fa1cf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d2ded5-0330-4da1-9174-2ef5adb4fc8d}" ma:internalName="TaxCatchAll" ma:showField="CatchAllData" ma:web="8b7d2623-97ce-4d3d-b38b-e619fa1cf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7d2623-97ce-4d3d-b38b-e619fa1cf8e4" xsi:nil="true"/>
    <lcf76f155ced4ddcb4097134ff3c332f xmlns="3c3db478-5397-4d9d-b8f4-aeb2c9f9ebf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647535-D9AC-44FB-874F-79D51AACD2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db478-5397-4d9d-b8f4-aeb2c9f9ebf8"/>
    <ds:schemaRef ds:uri="8b7d2623-97ce-4d3d-b38b-e619fa1cf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13F14B-6701-43E3-9A34-5A69D3E85BC7}">
  <ds:schemaRefs>
    <ds:schemaRef ds:uri="http://schemas.microsoft.com/office/2006/metadata/properties"/>
    <ds:schemaRef ds:uri="http://schemas.microsoft.com/office/infopath/2007/PartnerControls"/>
    <ds:schemaRef ds:uri="8b7d2623-97ce-4d3d-b38b-e619fa1cf8e4"/>
    <ds:schemaRef ds:uri="3c3db478-5397-4d9d-b8f4-aeb2c9f9ebf8"/>
  </ds:schemaRefs>
</ds:datastoreItem>
</file>

<file path=customXml/itemProps3.xml><?xml version="1.0" encoding="utf-8"?>
<ds:datastoreItem xmlns:ds="http://schemas.openxmlformats.org/officeDocument/2006/customXml" ds:itemID="{15593E97-E4D6-4B3F-9008-1200F0176E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8BC942-11FB-4D50-A93A-A9970CAFDC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934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sramkova@vrv.cz</dc:creator>
  <cp:keywords/>
  <dc:description/>
  <cp:lastModifiedBy>Dufek Martin</cp:lastModifiedBy>
  <cp:revision>100</cp:revision>
  <cp:lastPrinted>2016-09-05T15:18:00Z</cp:lastPrinted>
  <dcterms:created xsi:type="dcterms:W3CDTF">2023-09-20T09:16:00Z</dcterms:created>
  <dcterms:modified xsi:type="dcterms:W3CDTF">2025-11-12T10:12:00Z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HAVLICKOVA.ALENA@kr-jihomoravsky.cz</vt:lpwstr>
  </property>
  <property fmtid="{D5CDD505-2E9C-101B-9397-08002B2CF9AE}" pid="5" name="MSIP_Label_690ebb53-23a2-471a-9c6e-17bd0d11311e_SetDate">
    <vt:lpwstr>2023-02-23T17:46:11.9793447Z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0x0101006E7F9CBD517D82478C04156C2128DDAB</vt:lpwstr>
  </property>
  <property fmtid="{D5CDD505-2E9C-101B-9397-08002B2CF9AE}" pid="11" name="MediaServiceImageTags">
    <vt:lpwstr/>
  </property>
</Properties>
</file>